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200589" w:rsidRDefault="00182079">
      <w:pPr>
        <w:rPr>
          <w:b/>
          <w:lang w:val="de-DE"/>
        </w:rPr>
      </w:pPr>
      <w:r w:rsidRPr="00200589">
        <w:rPr>
          <w:b/>
          <w:lang w:val="de-DE"/>
        </w:rPr>
        <w:t xml:space="preserve">Max Weber: Die protestantische Ethik und der ‚Geist‘ des Kapitalismus. </w:t>
      </w:r>
      <w:r w:rsidR="00EA1B18" w:rsidRPr="00200589">
        <w:rPr>
          <w:b/>
          <w:lang w:val="de-DE"/>
        </w:rPr>
        <w:t>Stuttgart: Reclam, 2017.</w:t>
      </w:r>
    </w:p>
    <w:p w:rsidR="00EA1B18" w:rsidRDefault="00EA1B18">
      <w:pPr>
        <w:rPr>
          <w:lang w:val="de-DE"/>
        </w:rPr>
      </w:pPr>
    </w:p>
    <w:p w:rsidR="00EA1B18" w:rsidRDefault="00200589">
      <w:pPr>
        <w:rPr>
          <w:lang w:val="de-DE"/>
        </w:rPr>
      </w:pPr>
      <w:r>
        <w:rPr>
          <w:lang w:val="de-DE"/>
        </w:rPr>
        <w:t xml:space="preserve">„Wie ist es historisch erklärlich, </w:t>
      </w:r>
      <w:proofErr w:type="spellStart"/>
      <w:r>
        <w:rPr>
          <w:lang w:val="de-DE"/>
        </w:rPr>
        <w:t>daß</w:t>
      </w:r>
      <w:proofErr w:type="spellEnd"/>
      <w:r>
        <w:rPr>
          <w:lang w:val="de-DE"/>
        </w:rPr>
        <w:t xml:space="preserve"> im Zentrum der ‚kapitalistischen‘ Entwicklung der damaligen Welt, in Florenz im 14. und 15. Jahrhundert, dem Geld- und </w:t>
      </w:r>
      <w:proofErr w:type="spellStart"/>
      <w:r>
        <w:rPr>
          <w:lang w:val="de-DE"/>
        </w:rPr>
        <w:t>Kapitalmarkt</w:t>
      </w:r>
      <w:proofErr w:type="spellEnd"/>
      <w:r>
        <w:rPr>
          <w:lang w:val="de-DE"/>
        </w:rPr>
        <w:t xml:space="preserve"> aller politischen Großmächte, als sittlich bedenklich galt, was in den hinterwäldlerisch-kleinbürgerlichen Verhältnissen von Pennsylvanien im 18. Jahrhundert, wo die Wirtschaft aus purem Geldmangel stets in Naturaltausch zu kollabieren drohte, von größeren gewerblichen Unternehmungen kaum eine Spur, von Banken nur die vorsintflutlichen Anfänge zu bemerken waren, als Inhalt einer sittlich löblichen, ja gebotenen Lebensführung gelten konnte? – Hier von einer ‚Widerspiegelung‘ der ‚materiellen‘ Verhältnisse in dem ‚ideellen Überbau‘ reden zu wollen, wäre ja barer Unsinn.“ (51) </w:t>
      </w:r>
    </w:p>
    <w:p w:rsidR="005E6DC1" w:rsidRDefault="005E6DC1">
      <w:pPr>
        <w:rPr>
          <w:lang w:val="de-DE"/>
        </w:rPr>
      </w:pPr>
      <w:r>
        <w:rPr>
          <w:lang w:val="de-DE"/>
        </w:rPr>
        <w:t xml:space="preserve">„Sondern das Spezifische des Schriftstücks liegt darin, </w:t>
      </w:r>
      <w:proofErr w:type="spellStart"/>
      <w:r>
        <w:rPr>
          <w:lang w:val="de-DE"/>
        </w:rPr>
        <w:t>daß</w:t>
      </w:r>
      <w:proofErr w:type="spellEnd"/>
      <w:r>
        <w:rPr>
          <w:lang w:val="de-DE"/>
        </w:rPr>
        <w:t xml:space="preserve"> Cromwell – wie </w:t>
      </w:r>
      <w:proofErr w:type="gramStart"/>
      <w:r>
        <w:rPr>
          <w:lang w:val="de-DE"/>
        </w:rPr>
        <w:t>jeder[</w:t>
      </w:r>
      <w:proofErr w:type="gramEnd"/>
      <w:r>
        <w:rPr>
          <w:lang w:val="de-DE"/>
        </w:rPr>
        <w:t xml:space="preserve">,] der seinen Charakter kennt, weiß, mit tiefster subjektiver Überzeugtheit – den Iren selbst gegenüber die </w:t>
      </w:r>
      <w:r w:rsidRPr="005E6DC1">
        <w:rPr>
          <w:i/>
          <w:lang w:val="de-DE"/>
        </w:rPr>
        <w:t>sittliche</w:t>
      </w:r>
      <w:r>
        <w:rPr>
          <w:lang w:val="de-DE"/>
        </w:rPr>
        <w:t xml:space="preserve"> Berechtigung ihrer Unterjochung unter Anrufung Gottes auf den Umstand gründet, </w:t>
      </w:r>
      <w:proofErr w:type="spellStart"/>
      <w:r>
        <w:rPr>
          <w:lang w:val="de-DE"/>
        </w:rPr>
        <w:t>daß</w:t>
      </w:r>
      <w:proofErr w:type="spellEnd"/>
      <w:r>
        <w:rPr>
          <w:lang w:val="de-DE"/>
        </w:rPr>
        <w:t xml:space="preserve"> englisches Kapital die Iren zur Arbeit erzogen habe.“ (67n) </w:t>
      </w:r>
    </w:p>
    <w:p w:rsidR="005E6DC1" w:rsidRDefault="005E6DC1">
      <w:pPr>
        <w:rPr>
          <w:lang w:val="de-DE"/>
        </w:rPr>
      </w:pPr>
      <w:r>
        <w:rPr>
          <w:lang w:val="de-DE"/>
        </w:rPr>
        <w:t xml:space="preserve">„Jeder </w:t>
      </w:r>
      <w:r w:rsidRPr="005E6DC1">
        <w:rPr>
          <w:i/>
          <w:lang w:val="de-DE"/>
        </w:rPr>
        <w:t>empfindet</w:t>
      </w:r>
      <w:r>
        <w:rPr>
          <w:lang w:val="de-DE"/>
        </w:rPr>
        <w:t xml:space="preserve"> sofort, </w:t>
      </w:r>
      <w:proofErr w:type="spellStart"/>
      <w:r>
        <w:rPr>
          <w:lang w:val="de-DE"/>
        </w:rPr>
        <w:t>daß</w:t>
      </w:r>
      <w:proofErr w:type="spellEnd"/>
      <w:r>
        <w:rPr>
          <w:lang w:val="de-DE"/>
        </w:rPr>
        <w:t xml:space="preserve"> dieser mächtigste Ausdruck der ernsten puritanischen </w:t>
      </w:r>
      <w:r w:rsidRPr="005E6DC1">
        <w:rPr>
          <w:i/>
          <w:lang w:val="de-DE"/>
        </w:rPr>
        <w:t>Weltfreudigkeit</w:t>
      </w:r>
      <w:r>
        <w:rPr>
          <w:lang w:val="de-DE"/>
        </w:rPr>
        <w:t xml:space="preserve">, das heißt: </w:t>
      </w:r>
      <w:r w:rsidR="000E29FE">
        <w:rPr>
          <w:lang w:val="de-DE"/>
        </w:rPr>
        <w:t xml:space="preserve">Wertung des Lebens als </w:t>
      </w:r>
      <w:r w:rsidR="000E29FE" w:rsidRPr="000E29FE">
        <w:rPr>
          <w:i/>
          <w:lang w:val="de-DE"/>
        </w:rPr>
        <w:t>Aufgabe</w:t>
      </w:r>
      <w:r w:rsidR="000E29FE">
        <w:rPr>
          <w:lang w:val="de-DE"/>
        </w:rPr>
        <w:t xml:space="preserve">, im Munde eines mittelalterlichen Schriftstellers unmöglich gewesen wäre. Aber auch dem Luthertum, wie es etwa in Luthers und Paul Gerhards Chorälen sich gibt, ist er ganz ebenso wenig kongenial. An diese Stelle dieser unbestimmten Empfindung gilt es nun hier eine etwas genauere gedankliche </w:t>
      </w:r>
      <w:r w:rsidR="000E29FE" w:rsidRPr="000E29FE">
        <w:rPr>
          <w:i/>
          <w:lang w:val="de-DE"/>
        </w:rPr>
        <w:t>Formulierung</w:t>
      </w:r>
      <w:r w:rsidR="000E29FE">
        <w:rPr>
          <w:lang w:val="de-DE"/>
        </w:rPr>
        <w:t xml:space="preserve"> zu setzen und nach den inneren Gründen dieser Unterschiede zu fragen. Die Berufung auf den ‚Volkscharakter‘ ist nicht nur überhaupt lediglich das Bekenntnis des </w:t>
      </w:r>
      <w:r w:rsidR="000E29FE" w:rsidRPr="000E29FE">
        <w:rPr>
          <w:i/>
          <w:lang w:val="de-DE"/>
        </w:rPr>
        <w:t>Nicht</w:t>
      </w:r>
      <w:r w:rsidR="000E29FE">
        <w:rPr>
          <w:lang w:val="de-DE"/>
        </w:rPr>
        <w:t>wissens, sondern in unserem Fall auch gänzlich hinfällig. Den Engländern des 17. Jahrhunderts einen einheitlichen ‚Volkscharakter‘ zuzuschreiben wäre einfach historisch unrichtig. ‚Kavaliere‘ und ‚Rundköpfe‘ empfanden sich nicht einfach als zwei Parteien, sondern als radikal verschiedene Menschengattungen, und wer aufmerksam zusieht</w:t>
      </w:r>
      <w:r w:rsidR="00D935EB">
        <w:rPr>
          <w:lang w:val="de-DE"/>
        </w:rPr>
        <w:t xml:space="preserve">, </w:t>
      </w:r>
      <w:proofErr w:type="spellStart"/>
      <w:r w:rsidR="00D935EB">
        <w:rPr>
          <w:lang w:val="de-DE"/>
        </w:rPr>
        <w:t>muß</w:t>
      </w:r>
      <w:proofErr w:type="spellEnd"/>
      <w:r w:rsidR="00D935EB">
        <w:rPr>
          <w:lang w:val="de-DE"/>
        </w:rPr>
        <w:t xml:space="preserve"> ihnen darin recht geben. Und ein charakterologischer Gegensatz der englischen </w:t>
      </w:r>
      <w:proofErr w:type="spellStart"/>
      <w:r w:rsidR="00D935EB">
        <w:rPr>
          <w:lang w:val="de-DE"/>
        </w:rPr>
        <w:t>merchant</w:t>
      </w:r>
      <w:proofErr w:type="spellEnd"/>
      <w:r w:rsidR="00D935EB">
        <w:rPr>
          <w:lang w:val="de-DE"/>
        </w:rPr>
        <w:t xml:space="preserve"> </w:t>
      </w:r>
      <w:proofErr w:type="spellStart"/>
      <w:r w:rsidR="00D935EB">
        <w:rPr>
          <w:lang w:val="de-DE"/>
        </w:rPr>
        <w:t>adventurers</w:t>
      </w:r>
      <w:proofErr w:type="spellEnd"/>
      <w:r w:rsidR="00D935EB">
        <w:rPr>
          <w:lang w:val="de-DE"/>
        </w:rPr>
        <w:t xml:space="preserve"> gegen die alten Hanseaten ist </w:t>
      </w:r>
      <w:proofErr w:type="spellStart"/>
      <w:r w:rsidR="00D935EB">
        <w:rPr>
          <w:lang w:val="de-DE"/>
        </w:rPr>
        <w:t>ebensowenig</w:t>
      </w:r>
      <w:proofErr w:type="spellEnd"/>
      <w:r w:rsidR="00D935EB">
        <w:rPr>
          <w:lang w:val="de-DE"/>
        </w:rPr>
        <w:t xml:space="preserve"> auffindbar, wie überhaupt ein anderer Unterschied englischer von deutscher Eigenart am Ende des Mittelalters zu konstatieren ist, als er sich durch die verschiedenen </w:t>
      </w:r>
      <w:r w:rsidR="00D935EB" w:rsidRPr="00D935EB">
        <w:rPr>
          <w:i/>
          <w:lang w:val="de-DE"/>
        </w:rPr>
        <w:t>politischen</w:t>
      </w:r>
      <w:r w:rsidR="00D935EB">
        <w:rPr>
          <w:lang w:val="de-DE"/>
        </w:rPr>
        <w:t xml:space="preserve"> Schicksale unmittelbar erklären </w:t>
      </w:r>
      <w:proofErr w:type="spellStart"/>
      <w:r w:rsidR="00D935EB">
        <w:rPr>
          <w:lang w:val="de-DE"/>
        </w:rPr>
        <w:t>läßt</w:t>
      </w:r>
      <w:proofErr w:type="spellEnd"/>
      <w:r w:rsidR="00D935EB">
        <w:rPr>
          <w:lang w:val="de-DE"/>
        </w:rPr>
        <w:t xml:space="preserve">. Erst die Macht </w:t>
      </w:r>
      <w:r w:rsidR="00D935EB" w:rsidRPr="00D935EB">
        <w:rPr>
          <w:i/>
          <w:lang w:val="de-DE"/>
        </w:rPr>
        <w:t>religiöser</w:t>
      </w:r>
      <w:r w:rsidR="00D935EB">
        <w:rPr>
          <w:lang w:val="de-DE"/>
        </w:rPr>
        <w:t xml:space="preserve"> Bewegungen – nicht sie allein, aber sie zuerst – hat hier jene </w:t>
      </w:r>
      <w:proofErr w:type="gramStart"/>
      <w:r w:rsidR="00D935EB">
        <w:rPr>
          <w:lang w:val="de-DE"/>
        </w:rPr>
        <w:t>Unterschiede  geschaffen</w:t>
      </w:r>
      <w:proofErr w:type="gramEnd"/>
      <w:r w:rsidR="00D935EB">
        <w:rPr>
          <w:lang w:val="de-DE"/>
        </w:rPr>
        <w:t xml:space="preserve">, die wir heute empfinden.“ (77) </w:t>
      </w:r>
    </w:p>
    <w:p w:rsidR="005E612B" w:rsidRDefault="005E612B">
      <w:pPr>
        <w:rPr>
          <w:lang w:val="de-DE"/>
        </w:rPr>
      </w:pPr>
      <w:r>
        <w:rPr>
          <w:lang w:val="de-DE"/>
        </w:rPr>
        <w:t xml:space="preserve">„Man wird an Goethes dem Wesen </w:t>
      </w:r>
      <w:proofErr w:type="gramStart"/>
      <w:r>
        <w:rPr>
          <w:lang w:val="de-DE"/>
        </w:rPr>
        <w:t>nach gleichbedeutenden Spruch</w:t>
      </w:r>
      <w:proofErr w:type="gramEnd"/>
      <w:r>
        <w:rPr>
          <w:lang w:val="de-DE"/>
        </w:rPr>
        <w:t xml:space="preserve"> erinnert: ‚Wie kann man sich selbst kennen lernen? Durch </w:t>
      </w:r>
      <w:proofErr w:type="spellStart"/>
      <w:r>
        <w:rPr>
          <w:lang w:val="de-DE"/>
        </w:rPr>
        <w:t>Betrach</w:t>
      </w:r>
      <w:proofErr w:type="spellEnd"/>
      <w:r>
        <w:rPr>
          <w:lang w:val="de-DE"/>
        </w:rPr>
        <w:t>-[114</w:t>
      </w:r>
      <w:proofErr w:type="gramStart"/>
      <w:r>
        <w:rPr>
          <w:lang w:val="de-DE"/>
        </w:rPr>
        <w:t>n]</w:t>
      </w:r>
      <w:proofErr w:type="spellStart"/>
      <w:r>
        <w:rPr>
          <w:lang w:val="de-DE"/>
        </w:rPr>
        <w:t>ten</w:t>
      </w:r>
      <w:proofErr w:type="spellEnd"/>
      <w:proofErr w:type="gramEnd"/>
      <w:r>
        <w:rPr>
          <w:lang w:val="de-DE"/>
        </w:rPr>
        <w:t xml:space="preserve"> niemals, wohl aber durch Handeln. Versuche, deine Pflicht zu tun, und du weißt gleich, was an dir ist. – Was aber ist deine Pflicht? Die Forderung des Tages.“ (113n-114n) </w:t>
      </w:r>
    </w:p>
    <w:p w:rsidR="005E612B" w:rsidRDefault="005E612B">
      <w:pPr>
        <w:rPr>
          <w:lang w:val="de-DE"/>
        </w:rPr>
      </w:pPr>
      <w:r>
        <w:rPr>
          <w:lang w:val="de-DE"/>
        </w:rPr>
        <w:t>„Dem Herausfluten der Askese aus dem weltlichen Alltagsleben war damit ein Damm vorgebaut und jene leidenschaftlich</w:t>
      </w:r>
      <w:r w:rsidR="00E760BC">
        <w:rPr>
          <w:lang w:val="de-DE"/>
        </w:rPr>
        <w:t xml:space="preserve"> ernsten innerlichen Naturen, die bisher dem Mönchtum seine besten Repräsentanten geliefert hatten, waren darauf hingewiesen, </w:t>
      </w:r>
      <w:r w:rsidR="00E760BC" w:rsidRPr="00E760BC">
        <w:rPr>
          <w:i/>
          <w:lang w:val="de-DE"/>
        </w:rPr>
        <w:t>innerhalb</w:t>
      </w:r>
      <w:r w:rsidR="00E760BC">
        <w:rPr>
          <w:lang w:val="de-DE"/>
        </w:rPr>
        <w:t xml:space="preserve"> des weltlichen Berufslebens asketischen Idealen nachzugehen. Der Calvinismus fügte nun aber im Verlauf seiner Entwicklung etwas Positives: den Gedanken der Notwendigkeit der </w:t>
      </w:r>
      <w:r w:rsidR="00E760BC" w:rsidRPr="00E760BC">
        <w:rPr>
          <w:i/>
          <w:lang w:val="de-DE"/>
        </w:rPr>
        <w:t>Bewährung des Glaubens</w:t>
      </w:r>
      <w:r w:rsidR="00E760BC">
        <w:rPr>
          <w:lang w:val="de-DE"/>
        </w:rPr>
        <w:t xml:space="preserve"> im weltlichen Berufsleben hinzu. Er gab damit den </w:t>
      </w:r>
      <w:r w:rsidR="00E760BC" w:rsidRPr="00E760BC">
        <w:rPr>
          <w:i/>
          <w:lang w:val="de-DE"/>
        </w:rPr>
        <w:t>positiven</w:t>
      </w:r>
      <w:r w:rsidR="00E760BC">
        <w:rPr>
          <w:lang w:val="de-DE"/>
        </w:rPr>
        <w:t xml:space="preserve"> Antrieb zur Askese“ (123) </w:t>
      </w:r>
    </w:p>
    <w:p w:rsidR="00E760BC" w:rsidRDefault="00E760BC">
      <w:pPr>
        <w:rPr>
          <w:lang w:val="de-DE"/>
        </w:rPr>
      </w:pPr>
      <w:r>
        <w:rPr>
          <w:lang w:val="de-DE"/>
        </w:rPr>
        <w:lastRenderedPageBreak/>
        <w:t xml:space="preserve">„Die Heiligung des Lebens kann so fast den Charakter eines Geschäftsbetriebes </w:t>
      </w:r>
      <w:proofErr w:type="spellStart"/>
      <w:r>
        <w:rPr>
          <w:lang w:val="de-DE"/>
        </w:rPr>
        <w:t>annrehmen</w:t>
      </w:r>
      <w:proofErr w:type="spellEnd"/>
      <w:r>
        <w:rPr>
          <w:lang w:val="de-DE"/>
        </w:rPr>
        <w:t xml:space="preserve">. Eine penetrante Christianisierung des ganzen Daseins ist die Konsequenz dieser </w:t>
      </w:r>
      <w:r w:rsidRPr="00E760BC">
        <w:rPr>
          <w:i/>
          <w:lang w:val="de-DE"/>
        </w:rPr>
        <w:t>Methodik</w:t>
      </w:r>
      <w:r>
        <w:rPr>
          <w:lang w:val="de-DE"/>
        </w:rPr>
        <w:t xml:space="preserve"> der ethischen Lebensführung, welche der Calvinismus im Gegensatz zum Luthertum erzwang.“ (128) </w:t>
      </w:r>
    </w:p>
    <w:p w:rsidR="00E760BC" w:rsidRDefault="00E760BC">
      <w:pPr>
        <w:rPr>
          <w:lang w:val="de-DE"/>
        </w:rPr>
      </w:pPr>
      <w:r>
        <w:rPr>
          <w:lang w:val="de-DE"/>
        </w:rPr>
        <w:t xml:space="preserve">„Diese </w:t>
      </w:r>
      <w:r w:rsidRPr="00E760BC">
        <w:rPr>
          <w:i/>
          <w:lang w:val="de-DE"/>
        </w:rPr>
        <w:t>Rationalisierung</w:t>
      </w:r>
      <w:r>
        <w:rPr>
          <w:lang w:val="de-DE"/>
        </w:rPr>
        <w:t xml:space="preserve"> der Lebensführung innerhalb der Welt im Hinblick auf das Jenseits ist die Berufsidee des asketischen Protestantismus.“ (181) </w:t>
      </w:r>
    </w:p>
    <w:p w:rsidR="00E760BC" w:rsidRDefault="00E760BC">
      <w:pPr>
        <w:rPr>
          <w:lang w:val="de-DE"/>
        </w:rPr>
      </w:pPr>
      <w:r>
        <w:rPr>
          <w:lang w:val="de-DE"/>
        </w:rPr>
        <w:t xml:space="preserve">„Nicht Muße und </w:t>
      </w:r>
      <w:proofErr w:type="spellStart"/>
      <w:r>
        <w:rPr>
          <w:lang w:val="de-DE"/>
        </w:rPr>
        <w:t>Genuß</w:t>
      </w:r>
      <w:proofErr w:type="spellEnd"/>
      <w:r>
        <w:rPr>
          <w:lang w:val="de-DE"/>
        </w:rPr>
        <w:t xml:space="preserve">, sondern nur Handeln dient nach dem unzweideutig geoffenbarten Willen Gottes zur Mehrung seines Ruhms. </w:t>
      </w:r>
      <w:r w:rsidRPr="00E760BC">
        <w:rPr>
          <w:lang w:val="en-CA"/>
        </w:rPr>
        <w:t>[</w:t>
      </w:r>
      <w:proofErr w:type="spellStart"/>
      <w:r w:rsidRPr="00E760BC">
        <w:rPr>
          <w:lang w:val="en-CA"/>
        </w:rPr>
        <w:t>Fußnote</w:t>
      </w:r>
      <w:proofErr w:type="spellEnd"/>
      <w:r w:rsidR="00360829">
        <w:rPr>
          <w:lang w:val="en-CA"/>
        </w:rPr>
        <w:t xml:space="preserve"> 164</w:t>
      </w:r>
      <w:r w:rsidRPr="00E760BC">
        <w:rPr>
          <w:lang w:val="en-CA"/>
        </w:rPr>
        <w:t xml:space="preserve">:] </w:t>
      </w:r>
      <w:r w:rsidR="00360829">
        <w:rPr>
          <w:lang w:val="en-CA"/>
        </w:rPr>
        <w:t>[Richard Baxter</w:t>
      </w:r>
      <w:proofErr w:type="gramStart"/>
      <w:r w:rsidR="00360829">
        <w:rPr>
          <w:lang w:val="en-CA"/>
        </w:rPr>
        <w:t>:]</w:t>
      </w:r>
      <w:r w:rsidRPr="00E760BC">
        <w:rPr>
          <w:lang w:val="en-CA"/>
        </w:rPr>
        <w:t>Christ</w:t>
      </w:r>
      <w:proofErr w:type="gramEnd"/>
      <w:r w:rsidRPr="00E760BC">
        <w:rPr>
          <w:lang w:val="en-CA"/>
        </w:rPr>
        <w:t>.</w:t>
      </w:r>
      <w:r w:rsidR="00360829">
        <w:rPr>
          <w:lang w:val="en-CA"/>
        </w:rPr>
        <w:t>[</w:t>
      </w:r>
      <w:proofErr w:type="spellStart"/>
      <w:r w:rsidR="00360829">
        <w:rPr>
          <w:lang w:val="en-CA"/>
        </w:rPr>
        <w:t>ian</w:t>
      </w:r>
      <w:proofErr w:type="spellEnd"/>
      <w:r w:rsidR="00360829">
        <w:rPr>
          <w:lang w:val="en-CA"/>
        </w:rPr>
        <w:t>]</w:t>
      </w:r>
      <w:r w:rsidRPr="00E760BC">
        <w:rPr>
          <w:lang w:val="en-CA"/>
        </w:rPr>
        <w:t xml:space="preserve"> Dir.</w:t>
      </w:r>
      <w:r w:rsidR="00360829">
        <w:rPr>
          <w:lang w:val="en-CA"/>
        </w:rPr>
        <w:t>[</w:t>
      </w:r>
      <w:proofErr w:type="spellStart"/>
      <w:r w:rsidR="00360829">
        <w:rPr>
          <w:lang w:val="en-CA"/>
        </w:rPr>
        <w:t>ectory</w:t>
      </w:r>
      <w:proofErr w:type="spellEnd"/>
      <w:r w:rsidR="00360829">
        <w:rPr>
          <w:lang w:val="en-CA"/>
        </w:rPr>
        <w:t>]</w:t>
      </w:r>
      <w:r w:rsidRPr="00E760BC">
        <w:rPr>
          <w:lang w:val="en-CA"/>
        </w:rPr>
        <w:t xml:space="preserve"> I S. 376/5: It is for </w:t>
      </w:r>
      <w:r w:rsidRPr="00360829">
        <w:rPr>
          <w:i/>
          <w:lang w:val="en-CA"/>
        </w:rPr>
        <w:t>action</w:t>
      </w:r>
      <w:r w:rsidRPr="00E760BC">
        <w:rPr>
          <w:lang w:val="en-CA"/>
        </w:rPr>
        <w:t xml:space="preserve"> that God </w:t>
      </w:r>
      <w:proofErr w:type="spellStart"/>
      <w:r w:rsidRPr="00E760BC">
        <w:rPr>
          <w:lang w:val="en-CA"/>
        </w:rPr>
        <w:t>maintaineth</w:t>
      </w:r>
      <w:proofErr w:type="spellEnd"/>
      <w:r w:rsidRPr="00E760BC">
        <w:rPr>
          <w:lang w:val="en-CA"/>
        </w:rPr>
        <w:t xml:space="preserve"> us and our activities</w:t>
      </w:r>
      <w:r>
        <w:rPr>
          <w:lang w:val="en-CA"/>
        </w:rPr>
        <w:t xml:space="preserve">: work is the moral as well as the natural </w:t>
      </w:r>
      <w:r w:rsidRPr="00360829">
        <w:rPr>
          <w:i/>
          <w:lang w:val="en-CA"/>
        </w:rPr>
        <w:t>end of power</w:t>
      </w:r>
      <w:r>
        <w:rPr>
          <w:lang w:val="en-CA"/>
        </w:rPr>
        <w:t xml:space="preserve"> … It is </w:t>
      </w:r>
      <w:proofErr w:type="gramStart"/>
      <w:r w:rsidRPr="00360829">
        <w:rPr>
          <w:i/>
          <w:lang w:val="en-CA"/>
        </w:rPr>
        <w:t>action</w:t>
      </w:r>
      <w:proofErr w:type="gramEnd"/>
      <w:r>
        <w:rPr>
          <w:lang w:val="en-CA"/>
        </w:rPr>
        <w:t xml:space="preserve"> that God is most served and honoured by …</w:t>
      </w:r>
      <w:r w:rsidR="00360829">
        <w:rPr>
          <w:lang w:val="en-CA"/>
        </w:rPr>
        <w:t xml:space="preserve"> </w:t>
      </w:r>
      <w:r w:rsidR="00360829" w:rsidRPr="00360829">
        <w:rPr>
          <w:i/>
          <w:lang w:val="en-CA"/>
        </w:rPr>
        <w:t>The public welfare or the good of many</w:t>
      </w:r>
      <w:r w:rsidR="00360829">
        <w:rPr>
          <w:lang w:val="en-CA"/>
        </w:rPr>
        <w:t xml:space="preserve"> is to be valued above our own. </w:t>
      </w:r>
      <w:r w:rsidR="00360829" w:rsidRPr="00360829">
        <w:rPr>
          <w:lang w:val="de-DE"/>
        </w:rPr>
        <w:t>Hier zeigt sich der Ansatzpunkt für den Umschlag aus dem Willen Gottes zu den rein uti</w:t>
      </w:r>
      <w:r w:rsidR="00360829">
        <w:rPr>
          <w:lang w:val="de-DE"/>
        </w:rPr>
        <w:t>litaristischen Gesichtspunkten der späteren liberalen Theorie.</w:t>
      </w:r>
      <w:r w:rsidRPr="00360829">
        <w:rPr>
          <w:lang w:val="de-DE"/>
        </w:rPr>
        <w:t xml:space="preserve">“ (186) </w:t>
      </w:r>
    </w:p>
    <w:p w:rsidR="00360829" w:rsidRDefault="00360829">
      <w:pPr>
        <w:rPr>
          <w:lang w:val="de-DE"/>
        </w:rPr>
      </w:pPr>
      <w:r>
        <w:rPr>
          <w:lang w:val="de-DE"/>
        </w:rPr>
        <w:t xml:space="preserve">„Die Arbeit ist zunächst das alterprobte </w:t>
      </w:r>
      <w:r w:rsidRPr="00360829">
        <w:rPr>
          <w:i/>
          <w:lang w:val="de-DE"/>
        </w:rPr>
        <w:t>asketische Mittel</w:t>
      </w:r>
      <w:r>
        <w:rPr>
          <w:lang w:val="de-DE"/>
        </w:rPr>
        <w:t>, als welches sie in der Kirche [190] des Abendlandes von jeder geschätzt war. Sie ist namentlich das spezifische Präventiv gegen alle jene Anfechtungen, welche der Puritanismus unter dem Begriff ‚</w:t>
      </w:r>
      <w:proofErr w:type="spellStart"/>
      <w:r>
        <w:rPr>
          <w:lang w:val="de-DE"/>
        </w:rPr>
        <w:t>unclean</w:t>
      </w:r>
      <w:proofErr w:type="spellEnd"/>
      <w:r>
        <w:rPr>
          <w:lang w:val="de-DE"/>
        </w:rPr>
        <w:t xml:space="preserve"> </w:t>
      </w:r>
      <w:proofErr w:type="spellStart"/>
      <w:r>
        <w:rPr>
          <w:lang w:val="de-DE"/>
        </w:rPr>
        <w:t>life</w:t>
      </w:r>
      <w:proofErr w:type="spellEnd"/>
      <w:r>
        <w:rPr>
          <w:lang w:val="de-DE"/>
        </w:rPr>
        <w:t xml:space="preserve">‘ </w:t>
      </w:r>
      <w:proofErr w:type="spellStart"/>
      <w:r>
        <w:rPr>
          <w:lang w:val="de-DE"/>
        </w:rPr>
        <w:t>zusammenfaßt</w:t>
      </w:r>
      <w:proofErr w:type="spellEnd"/>
      <w:r>
        <w:rPr>
          <w:lang w:val="de-DE"/>
        </w:rPr>
        <w:t xml:space="preserve">“ (189-190) </w:t>
      </w:r>
    </w:p>
    <w:p w:rsidR="00360829" w:rsidRDefault="00360829">
      <w:pPr>
        <w:rPr>
          <w:lang w:val="de-DE"/>
        </w:rPr>
      </w:pPr>
      <w:r>
        <w:rPr>
          <w:lang w:val="de-DE"/>
        </w:rPr>
        <w:t xml:space="preserve">„Aber die Arbeit ist darüber hinaus, und vor allem, von Gott vorgeschriebener Selbstzweck des Lebens überhaupt. [Fußnote 178:] Selbst Zinzendorf sagt gelegentlich: ‚Man arbeitet nicht allein, </w:t>
      </w:r>
      <w:proofErr w:type="spellStart"/>
      <w:r>
        <w:rPr>
          <w:lang w:val="de-DE"/>
        </w:rPr>
        <w:t>daß</w:t>
      </w:r>
      <w:proofErr w:type="spellEnd"/>
      <w:r>
        <w:rPr>
          <w:lang w:val="de-DE"/>
        </w:rPr>
        <w:t xml:space="preserve"> man lebt, sondern man lebt </w:t>
      </w:r>
      <w:proofErr w:type="gramStart"/>
      <w:r>
        <w:rPr>
          <w:lang w:val="de-DE"/>
        </w:rPr>
        <w:t>um der Arbeit</w:t>
      </w:r>
      <w:proofErr w:type="gramEnd"/>
      <w:r>
        <w:rPr>
          <w:lang w:val="de-DE"/>
        </w:rPr>
        <w:t xml:space="preserve"> willen und wenn man nichts mehr zu arbeiten hat, so leidet man oder entschläft.‘ (Plitt [</w:t>
      </w:r>
      <w:r w:rsidRPr="00C1563D">
        <w:rPr>
          <w:i/>
          <w:lang w:val="de-DE"/>
        </w:rPr>
        <w:t>Zin</w:t>
      </w:r>
      <w:r w:rsidR="00C1563D" w:rsidRPr="00C1563D">
        <w:rPr>
          <w:i/>
          <w:lang w:val="de-DE"/>
        </w:rPr>
        <w:t>zendorfs Theologie</w:t>
      </w:r>
      <w:r>
        <w:rPr>
          <w:lang w:val="de-DE"/>
        </w:rPr>
        <w:t xml:space="preserve">], I, S. 428)“ (192) </w:t>
      </w:r>
    </w:p>
    <w:p w:rsidR="00C1563D" w:rsidRDefault="00C1563D">
      <w:pPr>
        <w:rPr>
          <w:lang w:val="de-DE"/>
        </w:rPr>
      </w:pPr>
      <w:r>
        <w:rPr>
          <w:lang w:val="de-DE"/>
        </w:rPr>
        <w:t xml:space="preserve">Robinson Crusoe: „der </w:t>
      </w:r>
      <w:r w:rsidRPr="00C1563D">
        <w:rPr>
          <w:i/>
          <w:lang w:val="de-DE"/>
        </w:rPr>
        <w:t>isolierte Wirtschaftsmensch</w:t>
      </w:r>
      <w:r>
        <w:rPr>
          <w:lang w:val="de-DE"/>
        </w:rPr>
        <w:t>“ (225)</w:t>
      </w:r>
    </w:p>
    <w:p w:rsidR="00FD0AD0" w:rsidRDefault="00C1563D">
      <w:pPr>
        <w:rPr>
          <w:lang w:val="de-DE"/>
        </w:rPr>
      </w:pPr>
      <w:r>
        <w:rPr>
          <w:lang w:val="de-DE"/>
        </w:rPr>
        <w:t xml:space="preserve">„Schon Calvin hatte den oft zitierten Ausspruch getan, </w:t>
      </w:r>
      <w:proofErr w:type="spellStart"/>
      <w:r>
        <w:rPr>
          <w:lang w:val="de-DE"/>
        </w:rPr>
        <w:t>daß</w:t>
      </w:r>
      <w:proofErr w:type="spellEnd"/>
      <w:r>
        <w:rPr>
          <w:lang w:val="de-DE"/>
        </w:rPr>
        <w:t xml:space="preserve"> nur, wenn das ‚Volk‘, d.h. die Masse der Arbeiter und Handwerker, arm erhalten werde, es Gott gehorsam bleibe.“ (227) </w:t>
      </w:r>
    </w:p>
    <w:p w:rsidR="00C1563D" w:rsidRDefault="00FD0AD0">
      <w:pPr>
        <w:rPr>
          <w:lang w:val="de-DE"/>
        </w:rPr>
      </w:pPr>
      <w:r>
        <w:rPr>
          <w:lang w:val="de-DE"/>
        </w:rPr>
        <w:t xml:space="preserve">„Der Puritaner </w:t>
      </w:r>
      <w:r w:rsidRPr="00D12C1D">
        <w:rPr>
          <w:i/>
          <w:lang w:val="de-DE"/>
        </w:rPr>
        <w:t>wollte</w:t>
      </w:r>
      <w:r>
        <w:rPr>
          <w:lang w:val="de-DE"/>
        </w:rPr>
        <w:t xml:space="preserve"> Berufsmensch sein, – wir </w:t>
      </w:r>
      <w:r w:rsidRPr="00D12C1D">
        <w:rPr>
          <w:i/>
          <w:lang w:val="de-DE"/>
        </w:rPr>
        <w:t>müssen</w:t>
      </w:r>
      <w:r>
        <w:rPr>
          <w:lang w:val="de-DE"/>
        </w:rPr>
        <w:t xml:space="preserve"> es sein. Denn indem die Askese aus den Mönchszellen heraus in das Berufsleben übertragen wurde und die innerweltliche Sittlichkeit zu beherrschen begann, half sie jenen mächtigen Kosmos der modernen, an die technischen und ökonomischen Voraussetzungen mechanisch-maschineller Produktion gebundenen, Wirtschaftsordnung erbauen, der heute den Lebensstil aller einzelnen, die in dies Triebwerk hineingeboren werden – nicht nur der direkt ökonomisch Erwerbstätigen –, mit überwältigendem Zwange bestimmt und vielleicht bestimmen wird, bis der letzte </w:t>
      </w:r>
      <w:r w:rsidR="00D12C1D">
        <w:rPr>
          <w:lang w:val="de-DE"/>
        </w:rPr>
        <w:t xml:space="preserve">Zentner fossilen Brennstoffs verglüht ist.“ (230) </w:t>
      </w:r>
    </w:p>
    <w:p w:rsidR="00D12C1D" w:rsidRPr="00360829" w:rsidRDefault="00D12C1D">
      <w:pPr>
        <w:rPr>
          <w:lang w:val="de-DE"/>
        </w:rPr>
      </w:pPr>
      <w:r>
        <w:rPr>
          <w:lang w:val="de-DE"/>
        </w:rPr>
        <w:t xml:space="preserve">„Wer ‚Schau‘ wünscht, gehe ins Lichtspiel“ (250) </w:t>
      </w:r>
      <w:bookmarkStart w:id="0" w:name="_GoBack"/>
      <w:bookmarkEnd w:id="0"/>
    </w:p>
    <w:sectPr w:rsidR="00D12C1D" w:rsidRPr="00360829"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079"/>
    <w:rsid w:val="000E29FE"/>
    <w:rsid w:val="001231ED"/>
    <w:rsid w:val="00182079"/>
    <w:rsid w:val="00200589"/>
    <w:rsid w:val="00360829"/>
    <w:rsid w:val="00395CDE"/>
    <w:rsid w:val="0055526E"/>
    <w:rsid w:val="005E612B"/>
    <w:rsid w:val="005E6DC1"/>
    <w:rsid w:val="00635244"/>
    <w:rsid w:val="006E0AF6"/>
    <w:rsid w:val="00C1563D"/>
    <w:rsid w:val="00D12C1D"/>
    <w:rsid w:val="00D935EB"/>
    <w:rsid w:val="00E760BC"/>
    <w:rsid w:val="00EA1B18"/>
    <w:rsid w:val="00FD0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1081A8B9-03FF-7C49-AFB6-73841483A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2021-01-10T12:51:00Z</dcterms:created>
  <dcterms:modified xsi:type="dcterms:W3CDTF">2021-01-10T14:51:00Z</dcterms:modified>
</cp:coreProperties>
</file>