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7FA1E" w14:textId="68A8E6A3" w:rsidR="006A41F3" w:rsidRPr="0072326D" w:rsidRDefault="0072326D">
      <w:pPr>
        <w:rPr>
          <w:b/>
          <w:lang w:val="de-DE"/>
        </w:rPr>
      </w:pPr>
      <w:r w:rsidRPr="0072326D">
        <w:rPr>
          <w:b/>
          <w:lang w:val="de-DE"/>
        </w:rPr>
        <w:t xml:space="preserve">Eric </w:t>
      </w:r>
      <w:proofErr w:type="spellStart"/>
      <w:r w:rsidRPr="0072326D">
        <w:rPr>
          <w:b/>
          <w:lang w:val="de-DE"/>
        </w:rPr>
        <w:t>Voegelin</w:t>
      </w:r>
      <w:proofErr w:type="spellEnd"/>
      <w:r w:rsidRPr="0072326D">
        <w:rPr>
          <w:b/>
          <w:lang w:val="de-DE"/>
        </w:rPr>
        <w:t xml:space="preserve">: Die Neue Wissenschaft der Politik. Eine Einführung. München: </w:t>
      </w:r>
      <w:r w:rsidR="0060107B">
        <w:rPr>
          <w:b/>
          <w:lang w:val="de-DE"/>
        </w:rPr>
        <w:t>Anton Pustet</w:t>
      </w:r>
      <w:r w:rsidRPr="0072326D">
        <w:rPr>
          <w:b/>
          <w:lang w:val="de-DE"/>
        </w:rPr>
        <w:t xml:space="preserve">, </w:t>
      </w:r>
      <w:r w:rsidR="0060107B">
        <w:rPr>
          <w:b/>
          <w:lang w:val="de-DE"/>
        </w:rPr>
        <w:t>1959</w:t>
      </w:r>
      <w:r w:rsidRPr="0072326D">
        <w:rPr>
          <w:b/>
          <w:lang w:val="de-DE"/>
        </w:rPr>
        <w:t>.</w:t>
      </w:r>
    </w:p>
    <w:p w14:paraId="7B378D1B" w14:textId="4BDF409D" w:rsidR="0060107B" w:rsidRDefault="0060107B">
      <w:pPr>
        <w:rPr>
          <w:lang w:val="de-DE"/>
        </w:rPr>
      </w:pPr>
    </w:p>
    <w:p w14:paraId="4EBE9A34" w14:textId="427126CA" w:rsidR="0060107B" w:rsidRDefault="0060107B">
      <w:pPr>
        <w:rPr>
          <w:lang w:val="de-DE"/>
        </w:rPr>
      </w:pPr>
      <w:r>
        <w:rPr>
          <w:lang w:val="de-DE"/>
        </w:rPr>
        <w:t>„Die zerstörende Wirkung des Positivismus hat ihre Ursache in den folgenden zwei Grundannahmen:</w:t>
      </w:r>
    </w:p>
    <w:p w14:paraId="09E9E9C7" w14:textId="3AC13940" w:rsidR="0060107B" w:rsidRDefault="0060107B">
      <w:pPr>
        <w:rPr>
          <w:lang w:val="de-DE"/>
        </w:rPr>
      </w:pPr>
      <w:r>
        <w:rPr>
          <w:lang w:val="de-DE"/>
        </w:rPr>
        <w:t xml:space="preserve">(1) Die glänzende Entfaltung der Naturwissenschaften war, neben anderen Faktoren, mitverantwortlich für die Annahme, [21] </w:t>
      </w:r>
      <w:proofErr w:type="spellStart"/>
      <w:r>
        <w:rPr>
          <w:lang w:val="de-DE"/>
        </w:rPr>
        <w:t>daß</w:t>
      </w:r>
      <w:proofErr w:type="spellEnd"/>
      <w:r>
        <w:rPr>
          <w:lang w:val="de-DE"/>
        </w:rPr>
        <w:t xml:space="preserve"> die Methoden der mathematisierten Wissenschaften von der Außenwelt durch besondere Leistungsfähigkeit ausgezeichnet seien, und </w:t>
      </w:r>
      <w:proofErr w:type="spellStart"/>
      <w:r>
        <w:rPr>
          <w:lang w:val="de-DE"/>
        </w:rPr>
        <w:t>daß</w:t>
      </w:r>
      <w:proofErr w:type="spellEnd"/>
      <w:r>
        <w:rPr>
          <w:lang w:val="de-DE"/>
        </w:rPr>
        <w:t xml:space="preserve"> die anderen Wissenschaften ähnliche Erfolge erzielen würden, wenn sie dem Beispiel folgten. Dieser Glaube für sich allein wäre eine harmlose Idiosynkrasie gewesen; er hätte sein natürliches Ende gefunden, sobald die enthusiastischen Bewunderer der Mustermethode versucht hätten, sie auf ihre eigene Wissenschaft anzuwenden, und wenn die erwarteten Erfolge ausgeblieben wären.</w:t>
      </w:r>
    </w:p>
    <w:p w14:paraId="21BE1502" w14:textId="2E4A4A44" w:rsidR="0060107B" w:rsidRDefault="0060107B">
      <w:pPr>
        <w:rPr>
          <w:lang w:val="de-DE"/>
        </w:rPr>
      </w:pPr>
      <w:r>
        <w:rPr>
          <w:lang w:val="de-DE"/>
        </w:rPr>
        <w:t xml:space="preserve">(2) Der Glaube wurde jedoch gefährlich, weil er sich mit der zweiten Annahme verband, </w:t>
      </w:r>
      <w:proofErr w:type="spellStart"/>
      <w:r>
        <w:rPr>
          <w:lang w:val="de-DE"/>
        </w:rPr>
        <w:t>daß</w:t>
      </w:r>
      <w:proofErr w:type="spellEnd"/>
      <w:r>
        <w:rPr>
          <w:lang w:val="de-DE"/>
        </w:rPr>
        <w:t xml:space="preserve"> </w:t>
      </w:r>
      <w:proofErr w:type="gramStart"/>
      <w:r>
        <w:rPr>
          <w:lang w:val="de-DE"/>
        </w:rPr>
        <w:t>die naturwissenschaftliche Methoden</w:t>
      </w:r>
      <w:proofErr w:type="gramEnd"/>
      <w:r>
        <w:rPr>
          <w:lang w:val="de-DE"/>
        </w:rPr>
        <w:t xml:space="preserve"> ein Kriterium für theoretische Relevanz lieferten. Erst aus dieser Verbindung der beiden Annahmen ergab sich die bekannte Reihe der Behauptungen: </w:t>
      </w:r>
      <w:proofErr w:type="spellStart"/>
      <w:r>
        <w:rPr>
          <w:lang w:val="de-DE"/>
        </w:rPr>
        <w:t>daß</w:t>
      </w:r>
      <w:proofErr w:type="spellEnd"/>
      <w:r>
        <w:rPr>
          <w:lang w:val="de-DE"/>
        </w:rPr>
        <w:t xml:space="preserve"> eine Erforschung der Wirklichkeit nur dann wissenschaftlichen Charakter habe, wenn sie die Methoden der Naturwissenschaft anwendet; </w:t>
      </w:r>
      <w:proofErr w:type="spellStart"/>
      <w:r>
        <w:rPr>
          <w:lang w:val="de-DE"/>
        </w:rPr>
        <w:t>daß</w:t>
      </w:r>
      <w:proofErr w:type="spellEnd"/>
      <w:r>
        <w:rPr>
          <w:lang w:val="de-DE"/>
        </w:rPr>
        <w:t xml:space="preserve"> di</w:t>
      </w:r>
      <w:r w:rsidR="004238A0">
        <w:rPr>
          <w:lang w:val="de-DE"/>
        </w:rPr>
        <w:t xml:space="preserve">e Probleme, die in anderen als naturwissenschaftlichen Termini ausgedrückt werden müssen, Scheinprobleme seien; </w:t>
      </w:r>
      <w:proofErr w:type="spellStart"/>
      <w:r w:rsidR="004238A0">
        <w:rPr>
          <w:lang w:val="de-DE"/>
        </w:rPr>
        <w:t>daß</w:t>
      </w:r>
      <w:proofErr w:type="spellEnd"/>
      <w:r w:rsidR="004238A0">
        <w:rPr>
          <w:lang w:val="de-DE"/>
        </w:rPr>
        <w:t xml:space="preserve"> im besonderen metaphysische Fragen, auf die eine Antwort mit den Mitteln der Wissenschaften von Phänomenen der Außenwelt nicht möglich ist, nicht gestellt werden dürfen; </w:t>
      </w:r>
      <w:proofErr w:type="spellStart"/>
      <w:r w:rsidR="004238A0">
        <w:rPr>
          <w:lang w:val="de-DE"/>
        </w:rPr>
        <w:t>daß</w:t>
      </w:r>
      <w:proofErr w:type="spellEnd"/>
      <w:r w:rsidR="004238A0">
        <w:rPr>
          <w:lang w:val="de-DE"/>
        </w:rPr>
        <w:t xml:space="preserve"> </w:t>
      </w:r>
      <w:proofErr w:type="spellStart"/>
      <w:r w:rsidR="004238A0">
        <w:rPr>
          <w:lang w:val="de-DE"/>
        </w:rPr>
        <w:t>Seinsbereiche</w:t>
      </w:r>
      <w:proofErr w:type="spellEnd"/>
      <w:r w:rsidR="004238A0">
        <w:rPr>
          <w:lang w:val="de-DE"/>
        </w:rPr>
        <w:t xml:space="preserve">, die der Erforschung mit naturwissenschaftlichen Methoden unzugänglich sind, irrelevant seien; und, in äußerster Konsequenz, </w:t>
      </w:r>
      <w:proofErr w:type="spellStart"/>
      <w:r w:rsidR="004238A0">
        <w:rPr>
          <w:lang w:val="de-DE"/>
        </w:rPr>
        <w:t>daß</w:t>
      </w:r>
      <w:proofErr w:type="spellEnd"/>
      <w:r w:rsidR="004238A0">
        <w:rPr>
          <w:lang w:val="de-DE"/>
        </w:rPr>
        <w:t xml:space="preserve"> </w:t>
      </w:r>
      <w:proofErr w:type="spellStart"/>
      <w:r w:rsidR="004238A0">
        <w:rPr>
          <w:lang w:val="de-DE"/>
        </w:rPr>
        <w:t>Seinsbereiche</w:t>
      </w:r>
      <w:proofErr w:type="spellEnd"/>
      <w:r w:rsidR="004238A0">
        <w:rPr>
          <w:lang w:val="de-DE"/>
        </w:rPr>
        <w:t xml:space="preserve"> dieser Art nicht existierten.“ (20-21) </w:t>
      </w:r>
    </w:p>
    <w:p w14:paraId="730FF023" w14:textId="5D37D928" w:rsidR="004238A0" w:rsidRPr="0060107B" w:rsidRDefault="004238A0">
      <w:pPr>
        <w:rPr>
          <w:lang w:val="de-DE"/>
        </w:rPr>
      </w:pPr>
      <w:r>
        <w:rPr>
          <w:lang w:val="de-DE"/>
        </w:rPr>
        <w:t xml:space="preserve">„zur leidenschaftslosen Schau der </w:t>
      </w:r>
      <w:proofErr w:type="spellStart"/>
      <w:r>
        <w:rPr>
          <w:lang w:val="de-DE"/>
        </w:rPr>
        <w:t>Seinsordnung</w:t>
      </w:r>
      <w:proofErr w:type="spellEnd"/>
      <w:r>
        <w:rPr>
          <w:lang w:val="de-DE"/>
        </w:rPr>
        <w:t xml:space="preserve"> in der theoretischen Haltung.“ (23) </w:t>
      </w:r>
    </w:p>
    <w:p w14:paraId="7AAABB82" w14:textId="77777777" w:rsidR="00353055" w:rsidRDefault="0072326D">
      <w:pPr>
        <w:rPr>
          <w:lang w:val="de-DE"/>
        </w:rPr>
      </w:pPr>
      <w:r>
        <w:rPr>
          <w:lang w:val="de-DE"/>
        </w:rPr>
        <w:t>„Die Anhäufung theoretisch nicht ausgewerteter und vielleicht nicht auswertbarer Fakten, dieser Auswuchs, für den in Deutschland das Wort Materialhuberei geprägt wurde, ist also die erste der Erscheinungsformen des Positivismus und wegen ihrer Allgegenwart ist sie von viel größerer Bedeutung als gewisse reizvolle Kuriositäten wie z.B. die Einheitswissenschaft.“ (2</w:t>
      </w:r>
      <w:r w:rsidR="004238A0">
        <w:rPr>
          <w:lang w:val="de-DE"/>
        </w:rPr>
        <w:t>7</w:t>
      </w:r>
      <w:r>
        <w:rPr>
          <w:lang w:val="de-DE"/>
        </w:rPr>
        <w:t>)</w:t>
      </w:r>
    </w:p>
    <w:p w14:paraId="20FC2D81" w14:textId="4B56F934" w:rsidR="0072326D" w:rsidRDefault="00353055">
      <w:pPr>
        <w:rPr>
          <w:lang w:val="de-DE"/>
        </w:rPr>
      </w:pPr>
      <w:r>
        <w:rPr>
          <w:lang w:val="de-DE"/>
        </w:rPr>
        <w:t>„In den Mittelpunkt des Dialoges [</w:t>
      </w:r>
      <w:proofErr w:type="spellStart"/>
      <w:r w:rsidRPr="00353055">
        <w:rPr>
          <w:i/>
          <w:lang w:val="de-DE"/>
        </w:rPr>
        <w:t>Politeia</w:t>
      </w:r>
      <w:proofErr w:type="spellEnd"/>
      <w:r>
        <w:rPr>
          <w:lang w:val="de-DE"/>
        </w:rPr>
        <w:t>; F.E.]</w:t>
      </w:r>
      <w:r w:rsidR="0072326D">
        <w:rPr>
          <w:lang w:val="de-DE"/>
        </w:rPr>
        <w:t xml:space="preserve"> </w:t>
      </w:r>
      <w:r>
        <w:rPr>
          <w:lang w:val="de-DE"/>
        </w:rPr>
        <w:t xml:space="preserve">stellt Platon das Höhlengleichnis mit seiner Beschreibung der </w:t>
      </w:r>
      <w:proofErr w:type="spellStart"/>
      <w:r w:rsidRPr="00353055">
        <w:rPr>
          <w:i/>
          <w:lang w:val="de-DE"/>
        </w:rPr>
        <w:t>periagoge</w:t>
      </w:r>
      <w:proofErr w:type="spellEnd"/>
      <w:r>
        <w:rPr>
          <w:lang w:val="de-DE"/>
        </w:rPr>
        <w:t xml:space="preserve">, der Umkehr, der Abwendung von der Unwahrheit der menschlichen Existenz, wie sie in der sophistischen Gesellschaft Athens herrschte, und der Hinwendung zur Wahrheit der Idee.“ (103) </w:t>
      </w:r>
    </w:p>
    <w:p w14:paraId="62A3293D" w14:textId="7C0487EE" w:rsidR="00B937AC" w:rsidRDefault="00B937AC">
      <w:pPr>
        <w:rPr>
          <w:lang w:val="de-DE"/>
        </w:rPr>
      </w:pPr>
      <w:r>
        <w:rPr>
          <w:lang w:val="de-DE"/>
        </w:rPr>
        <w:t xml:space="preserve">„Die Gültigkeit der von Platon und Aristoteles entwickelten Maßstäbe beruht auf der Vorstellung von einem Menschen, der das Maß der Gesellschaft sein kann, weil Gott das Maß seiner Seele ist.“ (104) </w:t>
      </w:r>
    </w:p>
    <w:p w14:paraId="54DFA6E7" w14:textId="3A127484" w:rsidR="004F5300" w:rsidRDefault="004F5300">
      <w:pPr>
        <w:rPr>
          <w:lang w:val="de-DE"/>
        </w:rPr>
      </w:pPr>
      <w:r>
        <w:rPr>
          <w:lang w:val="de-DE"/>
        </w:rPr>
        <w:t xml:space="preserve">„Die </w:t>
      </w:r>
      <w:proofErr w:type="spellStart"/>
      <w:r>
        <w:rPr>
          <w:lang w:val="de-DE"/>
        </w:rPr>
        <w:t>joachitische</w:t>
      </w:r>
      <w:proofErr w:type="spellEnd"/>
      <w:r>
        <w:rPr>
          <w:lang w:val="de-DE"/>
        </w:rPr>
        <w:t xml:space="preserve"> Spekulation war ein Versuch, de</w:t>
      </w:r>
      <w:r w:rsidR="00D3574D">
        <w:rPr>
          <w:lang w:val="de-DE"/>
        </w:rPr>
        <w:t>m</w:t>
      </w:r>
      <w:r>
        <w:rPr>
          <w:lang w:val="de-DE"/>
        </w:rPr>
        <w:t xml:space="preserve"> immanenten </w:t>
      </w:r>
      <w:r w:rsidR="00D3574D">
        <w:rPr>
          <w:lang w:val="de-DE"/>
        </w:rPr>
        <w:t xml:space="preserve">Lauf der Geschichte einen Sinn zu verleihen, den sie in der augustinischen Konzeption nicht hatte. Zu diesem Zweck verwandte Joachim, was zur Hand war, und das war der Sinn der transzendenten Geschichte. In diesem ersten westlichen Versuch einer </w:t>
      </w:r>
      <w:proofErr w:type="spellStart"/>
      <w:r w:rsidR="00D3574D">
        <w:rPr>
          <w:lang w:val="de-DE"/>
        </w:rPr>
        <w:t>Immanentisierung</w:t>
      </w:r>
      <w:proofErr w:type="spellEnd"/>
      <w:r w:rsidR="00D3574D">
        <w:rPr>
          <w:lang w:val="de-DE"/>
        </w:rPr>
        <w:t xml:space="preserve"> des Sinnes der Geschichte ging der Zusammenhang mit dem Christentum nicht verloren. Das neue Zeitalter des Joachim brachte eine Steigerung der Erfüllung innerhalb der Geschichte, aber diese Steigerung wurde nicht durch einen weltimmanenten Ausbruch hervorgerufen, sondern durch einen transzendenten Einbruch des Geistes. Der Gedanke einer [169] radikal immanenten Erfüllung wuchs nur sehr </w:t>
      </w:r>
      <w:r w:rsidR="00D3574D">
        <w:rPr>
          <w:lang w:val="de-DE"/>
        </w:rPr>
        <w:lastRenderedPageBreak/>
        <w:t xml:space="preserve">allmählich in einem langwierigen </w:t>
      </w:r>
      <w:proofErr w:type="spellStart"/>
      <w:r w:rsidR="00D3574D">
        <w:rPr>
          <w:lang w:val="de-DE"/>
        </w:rPr>
        <w:t>Prozeß</w:t>
      </w:r>
      <w:proofErr w:type="spellEnd"/>
      <w:r w:rsidR="00D3574D">
        <w:rPr>
          <w:lang w:val="de-DE"/>
        </w:rPr>
        <w:t>, den man kurz unter den Titel ‚vom Humanismus zur Aufklärung‘ bringen kann. Erst im achtzehnten Jahrhundert war mit dem Fortschrittsglauben die Steigerung des Sinngehaltes in der Geschichte zu einem völlig innerw</w:t>
      </w:r>
      <w:r w:rsidR="003C6129">
        <w:rPr>
          <w:lang w:val="de-DE"/>
        </w:rPr>
        <w:t xml:space="preserve">eltlichen Phänomen ohne transzendentale Einbrüche geworden. Diese zweite Phase der </w:t>
      </w:r>
      <w:proofErr w:type="spellStart"/>
      <w:r w:rsidR="003C6129">
        <w:rPr>
          <w:lang w:val="de-DE"/>
        </w:rPr>
        <w:t>Immanentisierung</w:t>
      </w:r>
      <w:proofErr w:type="spellEnd"/>
      <w:r w:rsidR="003C6129">
        <w:rPr>
          <w:lang w:val="de-DE"/>
        </w:rPr>
        <w:t xml:space="preserve"> soll ‚Säkularisierung‘ genannt werden.“ (168-169) </w:t>
      </w:r>
    </w:p>
    <w:p w14:paraId="710CB468" w14:textId="56A618A3" w:rsidR="00832ACA" w:rsidRDefault="00832ACA">
      <w:pPr>
        <w:rPr>
          <w:lang w:val="de-DE"/>
        </w:rPr>
      </w:pPr>
      <w:r>
        <w:rPr>
          <w:lang w:val="de-DE"/>
        </w:rPr>
        <w:t xml:space="preserve">„Ein Mensch kann nicht im absoluten Sinne auf sich zurückfallen; wenn er es versuchte, würde er sehr bald herausfinden, </w:t>
      </w:r>
      <w:proofErr w:type="spellStart"/>
      <w:r>
        <w:rPr>
          <w:lang w:val="de-DE"/>
        </w:rPr>
        <w:t>daß</w:t>
      </w:r>
      <w:proofErr w:type="spellEnd"/>
      <w:r>
        <w:rPr>
          <w:lang w:val="de-DE"/>
        </w:rPr>
        <w:t xml:space="preserve"> er in den Abgrund der Verzweiflung und des Nichts gestürzt ist.“ (174)</w:t>
      </w:r>
    </w:p>
    <w:p w14:paraId="3D0C07BF" w14:textId="03F27E8C" w:rsidR="00832ACA" w:rsidRDefault="00832ACA">
      <w:pPr>
        <w:rPr>
          <w:lang w:val="de-DE"/>
        </w:rPr>
      </w:pPr>
      <w:r>
        <w:rPr>
          <w:lang w:val="de-DE"/>
        </w:rPr>
        <w:t xml:space="preserve">„Der Versuch, den Sinn der Existenz zu </w:t>
      </w:r>
      <w:proofErr w:type="spellStart"/>
      <w:r>
        <w:rPr>
          <w:lang w:val="de-DE"/>
        </w:rPr>
        <w:t>immanentisieren</w:t>
      </w:r>
      <w:proofErr w:type="spellEnd"/>
      <w:r>
        <w:rPr>
          <w:lang w:val="de-DE"/>
        </w:rPr>
        <w:t xml:space="preserve">, ist im Grunde ein Versuch, unsere Kenntnis der Transzendenz fester in den Griff zu bekommen, als die </w:t>
      </w:r>
      <w:proofErr w:type="spellStart"/>
      <w:r w:rsidRPr="00832ACA">
        <w:rPr>
          <w:i/>
          <w:lang w:val="de-DE"/>
        </w:rPr>
        <w:t>cognitio</w:t>
      </w:r>
      <w:proofErr w:type="spellEnd"/>
      <w:r w:rsidRPr="00832ACA">
        <w:rPr>
          <w:i/>
          <w:lang w:val="de-DE"/>
        </w:rPr>
        <w:t xml:space="preserve"> </w:t>
      </w:r>
      <w:proofErr w:type="spellStart"/>
      <w:r w:rsidRPr="00832ACA">
        <w:rPr>
          <w:i/>
          <w:lang w:val="de-DE"/>
        </w:rPr>
        <w:t>fidei</w:t>
      </w:r>
      <w:proofErr w:type="spellEnd"/>
      <w:r>
        <w:rPr>
          <w:lang w:val="de-DE"/>
        </w:rPr>
        <w:t>, die Erkenntnis des Glaubens es uns gestattet. Die gnostischen Erfahrungen gewähren diesen festeren Griff, insofern als sie die Seele bis zu dem Punkt ausweiten, an welchem Gott in die menschliche Existenz hineingezogen wird.“ (175)</w:t>
      </w:r>
    </w:p>
    <w:p w14:paraId="08ED6BCC" w14:textId="191C5988" w:rsidR="00832ACA" w:rsidRDefault="00832ACA">
      <w:pPr>
        <w:rPr>
          <w:lang w:val="de-DE"/>
        </w:rPr>
      </w:pPr>
      <w:r>
        <w:rPr>
          <w:lang w:val="de-DE"/>
        </w:rPr>
        <w:t>„Die gnostischen Erfahrungen in der ganzen Skala ihrer Varianten sind der Kern der Re-</w:t>
      </w:r>
      <w:proofErr w:type="spellStart"/>
      <w:r>
        <w:rPr>
          <w:lang w:val="de-DE"/>
        </w:rPr>
        <w:t>Divinisation</w:t>
      </w:r>
      <w:proofErr w:type="spellEnd"/>
      <w:r>
        <w:rPr>
          <w:lang w:val="de-DE"/>
        </w:rPr>
        <w:t xml:space="preserve"> der Gesellschaft, denn die Menschen vergotten sich selbst, wenn sie solchen Erfahrungen verfallen“ (176) </w:t>
      </w:r>
    </w:p>
    <w:p w14:paraId="6FA38394" w14:textId="1CD12425" w:rsidR="00832ACA" w:rsidRDefault="00832ACA">
      <w:pPr>
        <w:rPr>
          <w:lang w:val="de-DE"/>
        </w:rPr>
      </w:pPr>
      <w:r>
        <w:rPr>
          <w:lang w:val="de-DE"/>
        </w:rPr>
        <w:t>„In der gnostischen Spekulation</w:t>
      </w:r>
      <w:r w:rsidR="00AF61A6">
        <w:rPr>
          <w:lang w:val="de-DE"/>
        </w:rPr>
        <w:t xml:space="preserve"> des Szientismus erreichte diese Variante ihr Extrem, als der positivistische Voll</w:t>
      </w:r>
      <w:proofErr w:type="gramStart"/>
      <w:r w:rsidR="00AF61A6">
        <w:rPr>
          <w:lang w:val="de-DE"/>
        </w:rPr>
        <w:t>-[</w:t>
      </w:r>
      <w:proofErr w:type="gramEnd"/>
      <w:r w:rsidR="00AF61A6">
        <w:rPr>
          <w:lang w:val="de-DE"/>
        </w:rPr>
        <w:t>180]</w:t>
      </w:r>
      <w:proofErr w:type="spellStart"/>
      <w:r w:rsidR="00AF61A6">
        <w:rPr>
          <w:lang w:val="de-DE"/>
        </w:rPr>
        <w:t>ender</w:t>
      </w:r>
      <w:proofErr w:type="spellEnd"/>
      <w:r w:rsidR="00AF61A6">
        <w:rPr>
          <w:lang w:val="de-DE"/>
        </w:rPr>
        <w:t xml:space="preserve"> der Wissenschaft die Ära Christi durch die Ära Comtes ersetzte. Der Szientismus ist bis zum heutigen Tage eine der stärksten gnostischen Bewegungen in der westlichen Gesellschaft, und der </w:t>
      </w:r>
      <w:proofErr w:type="spellStart"/>
      <w:r w:rsidR="00AF61A6">
        <w:rPr>
          <w:lang w:val="de-DE"/>
        </w:rPr>
        <w:t>immanentistische</w:t>
      </w:r>
      <w:proofErr w:type="spellEnd"/>
      <w:r w:rsidR="00AF61A6">
        <w:rPr>
          <w:lang w:val="de-DE"/>
        </w:rPr>
        <w:t xml:space="preserve"> Stolz auf die Wissenschaft ist so stark, </w:t>
      </w:r>
      <w:proofErr w:type="spellStart"/>
      <w:r w:rsidR="00AF61A6">
        <w:rPr>
          <w:lang w:val="de-DE"/>
        </w:rPr>
        <w:t>daß</w:t>
      </w:r>
      <w:proofErr w:type="spellEnd"/>
      <w:r w:rsidR="00AF61A6">
        <w:rPr>
          <w:lang w:val="de-DE"/>
        </w:rPr>
        <w:t xml:space="preserve"> sogar jede der Einzelwissenschaften ihren spezifischen Niederschlag gefunden hat in den Varianten des Heilswissens aus der Physik, der Wirtschaftswissenschaft, Soziologie, Biologie und Psychologie.“ (179-180</w:t>
      </w:r>
      <w:r w:rsidR="008770AD">
        <w:rPr>
          <w:lang w:val="de-DE"/>
        </w:rPr>
        <w:t>)</w:t>
      </w:r>
    </w:p>
    <w:p w14:paraId="1E64517F" w14:textId="7C202227" w:rsidR="00A1466A" w:rsidRDefault="00A1466A">
      <w:pPr>
        <w:rPr>
          <w:lang w:val="de-DE"/>
        </w:rPr>
      </w:pPr>
      <w:r>
        <w:rPr>
          <w:lang w:val="de-DE"/>
        </w:rPr>
        <w:t xml:space="preserve">„Der Gnostizismus machte also auf äußerst wirksame Weise menschliche Kräfte frei für den Aufbau einer Zivilisation, indem er auf den begeisterten Einsatz dieser Kräfte für innerweltliche Betätigung die Prämie der Erlösung setzte.“ (183) </w:t>
      </w:r>
    </w:p>
    <w:p w14:paraId="77CB3D28" w14:textId="5B5D84A5" w:rsidR="008A7C5B" w:rsidRDefault="008A7C5B">
      <w:pPr>
        <w:rPr>
          <w:lang w:val="de-DE"/>
        </w:rPr>
      </w:pPr>
      <w:r>
        <w:rPr>
          <w:lang w:val="de-DE"/>
        </w:rPr>
        <w:t xml:space="preserve">„Je intensiver alle menschlichen Energien in das große Unternehmen der Erlösung durch welt-immanentes Handeln geworfen [185] werden, desto mehr entfernen sich diejenigen, die an diesem Unternehmen mitwirken, vom Leben des Geistes. Und da das Leben des Geistes die Quelle der Ordnung im Menschen und in der Gesellschaft ist, liegt gerade im Erfolg einer gnostischen Zivilisation die Ursache ihres Verfalls.“ (184-185) </w:t>
      </w:r>
    </w:p>
    <w:p w14:paraId="2DB68742" w14:textId="4C469F05" w:rsidR="008A7C5B" w:rsidRDefault="008A7C5B">
      <w:pPr>
        <w:rPr>
          <w:lang w:val="de-DE"/>
        </w:rPr>
      </w:pPr>
      <w:r>
        <w:rPr>
          <w:lang w:val="de-DE"/>
        </w:rPr>
        <w:t xml:space="preserve">„Der Totalitarismus als existentielle Herrschaft gnostischer Aktivisten ist die </w:t>
      </w:r>
      <w:proofErr w:type="spellStart"/>
      <w:r>
        <w:rPr>
          <w:lang w:val="de-DE"/>
        </w:rPr>
        <w:t>Endform</w:t>
      </w:r>
      <w:proofErr w:type="spellEnd"/>
      <w:r>
        <w:rPr>
          <w:lang w:val="de-DE"/>
        </w:rPr>
        <w:t xml:space="preserve"> der progressiven Zivilisation.“ (185) </w:t>
      </w:r>
    </w:p>
    <w:p w14:paraId="4C4F528A" w14:textId="05777227" w:rsidR="002D20AD" w:rsidRDefault="002D20AD">
      <w:pPr>
        <w:rPr>
          <w:lang w:val="de-DE"/>
        </w:rPr>
      </w:pPr>
      <w:r>
        <w:rPr>
          <w:lang w:val="de-DE"/>
        </w:rPr>
        <w:t xml:space="preserve">„Angesichts dieser weltweiten Ausdehnung </w:t>
      </w:r>
      <w:r w:rsidR="00D5392C">
        <w:rPr>
          <w:lang w:val="de-DE"/>
        </w:rPr>
        <w:t xml:space="preserve">ist es nötig, das Selbstverständliche festzustellen: </w:t>
      </w:r>
      <w:proofErr w:type="spellStart"/>
      <w:r w:rsidR="00D5392C">
        <w:rPr>
          <w:lang w:val="de-DE"/>
        </w:rPr>
        <w:t>daß</w:t>
      </w:r>
      <w:proofErr w:type="spellEnd"/>
      <w:r w:rsidR="00D5392C">
        <w:rPr>
          <w:lang w:val="de-DE"/>
        </w:rPr>
        <w:t xml:space="preserve"> die menschliche Natur sich nicht ändert. Die Verschließung der Seele im modernen Gnostizismus kann die Wahrheit der Seele wie auch die Erfahrungen, die sich in Philosophie und Christentum manifestieren, unterdrücken, aber sie kann die Seele und ihre Transzendenz nicht aus der Struktur der Wirklichkeit entfernen.“ (227) </w:t>
      </w:r>
    </w:p>
    <w:p w14:paraId="5262EA54" w14:textId="6BCF7F1A" w:rsidR="005B5832" w:rsidRPr="005B5832" w:rsidRDefault="005B5832">
      <w:pPr>
        <w:rPr>
          <w:lang w:val="de-DE"/>
        </w:rPr>
      </w:pPr>
      <w:r w:rsidRPr="005B5832">
        <w:rPr>
          <w:lang w:val="de-DE"/>
        </w:rPr>
        <w:t>“Wenige Stellen könnten den Bankrott des liberalen Intell</w:t>
      </w:r>
      <w:r>
        <w:rPr>
          <w:lang w:val="de-DE"/>
        </w:rPr>
        <w:t xml:space="preserve">ektuellen unserer Zeit deutlicher aufzeigen als diese. Philosophie und Christentum liegen außerhalb seines Erfahrungsbereiches. Die Wissenschaft wird ein Werkzeug zur Beherrschung der Natur; und im </w:t>
      </w:r>
      <w:proofErr w:type="gramStart"/>
      <w:r>
        <w:rPr>
          <w:lang w:val="de-DE"/>
        </w:rPr>
        <w:t>übrigen</w:t>
      </w:r>
      <w:proofErr w:type="gramEnd"/>
      <w:r>
        <w:rPr>
          <w:lang w:val="de-DE"/>
        </w:rPr>
        <w:t xml:space="preserve"> macht sie den Menschen so blasiert, </w:t>
      </w:r>
      <w:proofErr w:type="spellStart"/>
      <w:r>
        <w:rPr>
          <w:lang w:val="de-DE"/>
        </w:rPr>
        <w:t>daß</w:t>
      </w:r>
      <w:proofErr w:type="spellEnd"/>
      <w:r>
        <w:rPr>
          <w:lang w:val="de-DE"/>
        </w:rPr>
        <w:t xml:space="preserve"> er nicht an Gott glaubt. Der Himmel wird auf Erden errichtet werden. Die Selbsterlösung, die Tragödie des Gnostizismus, die Nietzsche durchlebte, bis sie seine Seele zerbrach, ist ein Lebensinhalt, den jeder Mensch mit dem Gefühl gewinnt, er leiste seinen </w:t>
      </w:r>
      <w:r>
        <w:rPr>
          <w:lang w:val="de-DE"/>
        </w:rPr>
        <w:lastRenderedPageBreak/>
        <w:t xml:space="preserve">Beitrag zur Gesellschaft gemäß seinem Können, wofür er als Gegenleistung seinen Wochenlohn erhält. Es gibt keine Probleme menschlicher Existenz in der Gesellschaft außer der immanenten Befriedigung der Massen.“ (240) </w:t>
      </w:r>
      <w:bookmarkStart w:id="0" w:name="_GoBack"/>
      <w:bookmarkEnd w:id="0"/>
    </w:p>
    <w:sectPr w:rsidR="005B5832" w:rsidRPr="005B5832"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26D"/>
    <w:rsid w:val="001231ED"/>
    <w:rsid w:val="002D20AD"/>
    <w:rsid w:val="00353055"/>
    <w:rsid w:val="00395CDE"/>
    <w:rsid w:val="003C6129"/>
    <w:rsid w:val="004238A0"/>
    <w:rsid w:val="004F5300"/>
    <w:rsid w:val="0055526E"/>
    <w:rsid w:val="005B5832"/>
    <w:rsid w:val="0060107B"/>
    <w:rsid w:val="00635244"/>
    <w:rsid w:val="006E0AF6"/>
    <w:rsid w:val="0072326D"/>
    <w:rsid w:val="00832ACA"/>
    <w:rsid w:val="008770AD"/>
    <w:rsid w:val="008A7C5B"/>
    <w:rsid w:val="00A1466A"/>
    <w:rsid w:val="00AF61A6"/>
    <w:rsid w:val="00B937AC"/>
    <w:rsid w:val="00D3574D"/>
    <w:rsid w:val="00D5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257FC66"/>
  <w14:defaultImageDpi w14:val="32767"/>
  <w15:chartTrackingRefBased/>
  <w15:docId w15:val="{4DD7F841-F8B1-3E40-ABF7-3F6EAC8B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10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8</cp:revision>
  <dcterms:created xsi:type="dcterms:W3CDTF">2019-06-05T15:53:00Z</dcterms:created>
  <dcterms:modified xsi:type="dcterms:W3CDTF">2019-06-27T14:06:00Z</dcterms:modified>
</cp:coreProperties>
</file>