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47EA" w:rsidRPr="00C247EA" w:rsidRDefault="00C247EA">
      <w:pPr>
        <w:rPr>
          <w:b/>
          <w:lang w:val="de-DE"/>
        </w:rPr>
      </w:pPr>
      <w:r w:rsidRPr="00C247EA">
        <w:rPr>
          <w:b/>
          <w:lang w:val="de-DE"/>
        </w:rPr>
        <w:t>Leo N. Tolstoi: Mein Glaube. Von dem Verfasser genehmigte Ausgabe von Raphael Löwenfeld. Leipzig: Diederichs, 1902.</w:t>
      </w:r>
    </w:p>
    <w:p w:rsidR="00C247EA" w:rsidRDefault="00C247EA">
      <w:pPr>
        <w:rPr>
          <w:lang w:val="de-DE"/>
        </w:rPr>
      </w:pPr>
    </w:p>
    <w:p w:rsidR="00C247EA" w:rsidRDefault="00C247EA">
      <w:pPr>
        <w:rPr>
          <w:lang w:val="de-DE"/>
        </w:rPr>
      </w:pPr>
      <w:r>
        <w:rPr>
          <w:lang w:val="de-DE"/>
        </w:rPr>
        <w:t xml:space="preserve">„Wissenschaft und Philosophie behandeln alles, was ihr wollt, nur nicht die Frage, wie der Mensch besser werden und besser leben soll.“ (169) </w:t>
      </w:r>
    </w:p>
    <w:p w:rsidR="00C247EA" w:rsidRDefault="00C247EA">
      <w:pPr>
        <w:rPr>
          <w:lang w:val="de-DE"/>
        </w:rPr>
      </w:pPr>
      <w:r>
        <w:rPr>
          <w:lang w:val="de-DE"/>
        </w:rPr>
        <w:t xml:space="preserve">„alle Lehren haben den Zweck, die Menschen darüber aufzuklären, wie sie ihr Leben zu gestalten haben, wie jeder danach streben soll, sich und sein Leben zu bessern.“ (170) </w:t>
      </w:r>
    </w:p>
    <w:p w:rsidR="00C247EA" w:rsidRDefault="00C247EA">
      <w:pPr>
        <w:rPr>
          <w:lang w:val="de-DE"/>
        </w:rPr>
      </w:pPr>
      <w:r>
        <w:rPr>
          <w:lang w:val="de-DE"/>
        </w:rPr>
        <w:t xml:space="preserve">„Und deshalb </w:t>
      </w:r>
      <w:proofErr w:type="spellStart"/>
      <w:r>
        <w:rPr>
          <w:lang w:val="de-DE"/>
        </w:rPr>
        <w:t>muß</w:t>
      </w:r>
      <w:proofErr w:type="spellEnd"/>
      <w:r>
        <w:rPr>
          <w:lang w:val="de-DE"/>
        </w:rPr>
        <w:t xml:space="preserve"> man, um Christi Lehre zu verstehen, zu allererst sich besinnen, es </w:t>
      </w:r>
      <w:proofErr w:type="spellStart"/>
      <w:r>
        <w:rPr>
          <w:lang w:val="de-DE"/>
        </w:rPr>
        <w:t>muß</w:t>
      </w:r>
      <w:proofErr w:type="spellEnd"/>
      <w:r>
        <w:rPr>
          <w:lang w:val="de-DE"/>
        </w:rPr>
        <w:t xml:space="preserve"> sich in uns jenes [</w:t>
      </w:r>
      <w:proofErr w:type="spellStart"/>
      <w:r>
        <w:rPr>
          <w:lang w:val="de-DE"/>
        </w:rPr>
        <w:t>metanoien</w:t>
      </w:r>
      <w:proofErr w:type="spellEnd"/>
      <w:r>
        <w:rPr>
          <w:lang w:val="de-DE"/>
        </w:rPr>
        <w:t xml:space="preserve">] vollziehen, dasselbe, wovon in der Verkündigung seiner Lehre Christi Vorgänger, Johannes, zu eben solchen verirrten Menschen spricht.“ (185) </w:t>
      </w:r>
    </w:p>
    <w:p w:rsidR="00C247EA" w:rsidRDefault="00C247EA">
      <w:pPr>
        <w:rPr>
          <w:lang w:val="de-DE"/>
        </w:rPr>
      </w:pPr>
      <w:r>
        <w:rPr>
          <w:lang w:val="de-DE"/>
        </w:rPr>
        <w:t xml:space="preserve">„Um vernünftig zu leben, </w:t>
      </w:r>
      <w:proofErr w:type="spellStart"/>
      <w:r>
        <w:rPr>
          <w:lang w:val="de-DE"/>
        </w:rPr>
        <w:t>muß</w:t>
      </w:r>
      <w:proofErr w:type="spellEnd"/>
      <w:r>
        <w:rPr>
          <w:lang w:val="de-DE"/>
        </w:rPr>
        <w:t xml:space="preserve"> man so leben, </w:t>
      </w:r>
      <w:proofErr w:type="spellStart"/>
      <w:r>
        <w:rPr>
          <w:lang w:val="de-DE"/>
        </w:rPr>
        <w:t>daß</w:t>
      </w:r>
      <w:proofErr w:type="spellEnd"/>
      <w:r>
        <w:rPr>
          <w:lang w:val="de-DE"/>
        </w:rPr>
        <w:t xml:space="preserve"> der Tod das Leben nicht zerstören kann.</w:t>
      </w:r>
    </w:p>
    <w:p w:rsidR="00C247EA" w:rsidRDefault="00C247EA">
      <w:pPr>
        <w:rPr>
          <w:lang w:val="de-DE"/>
        </w:rPr>
      </w:pPr>
      <w:r>
        <w:rPr>
          <w:lang w:val="de-DE"/>
        </w:rPr>
        <w:t xml:space="preserve">Lukas 10, 41: ‚Martha, Martha, du hast viele Sorge und Mühe; eines aber ist not.“ </w:t>
      </w:r>
    </w:p>
    <w:p w:rsidR="00C247EA" w:rsidRDefault="00C247EA">
      <w:pPr>
        <w:rPr>
          <w:lang w:val="de-DE"/>
        </w:rPr>
      </w:pPr>
      <w:r>
        <w:rPr>
          <w:lang w:val="de-DE"/>
        </w:rPr>
        <w:t xml:space="preserve">Alle jene unzähligen Geschäfte, die wir für uns selbst verrichten, brauchen wir in der Zukunft nicht; alles das ist eine Täuschung, mit der wir uns selbst betrügen. Eines aber ist not.“ (191) </w:t>
      </w:r>
    </w:p>
    <w:p w:rsidR="00B90A37" w:rsidRDefault="00235BD7">
      <w:pPr>
        <w:rPr>
          <w:lang w:val="de-DE"/>
        </w:rPr>
      </w:pPr>
      <w:r>
        <w:rPr>
          <w:lang w:val="de-DE"/>
        </w:rPr>
        <w:t>„Diese Verbesserung der Ansicht über das Leben, diese [</w:t>
      </w:r>
      <w:proofErr w:type="spellStart"/>
      <w:r>
        <w:rPr>
          <w:lang w:val="de-DE"/>
        </w:rPr>
        <w:t>metanoia</w:t>
      </w:r>
      <w:proofErr w:type="spellEnd"/>
      <w:r>
        <w:rPr>
          <w:lang w:val="de-DE"/>
        </w:rPr>
        <w:t xml:space="preserve">] ist der Eckstein der Lehre Christi, wie er </w:t>
      </w:r>
      <w:proofErr w:type="spellStart"/>
      <w:r>
        <w:rPr>
          <w:lang w:val="de-DE"/>
        </w:rPr>
        <w:t>er</w:t>
      </w:r>
      <w:proofErr w:type="spellEnd"/>
      <w:r>
        <w:rPr>
          <w:lang w:val="de-DE"/>
        </w:rPr>
        <w:t xml:space="preserve"> auch am Schlusse des Gleichnisses ausgesprochen hat.“ (193)</w:t>
      </w:r>
    </w:p>
    <w:p w:rsidR="00235BD7" w:rsidRDefault="00235BD7">
      <w:pPr>
        <w:rPr>
          <w:lang w:val="de-DE"/>
        </w:rPr>
      </w:pPr>
      <w:r>
        <w:rPr>
          <w:lang w:val="de-DE"/>
        </w:rPr>
        <w:t xml:space="preserve">„Der Zirkus in </w:t>
      </w:r>
      <w:proofErr w:type="spellStart"/>
      <w:r>
        <w:rPr>
          <w:lang w:val="de-DE"/>
        </w:rPr>
        <w:t>Berditschew</w:t>
      </w:r>
      <w:proofErr w:type="spellEnd"/>
      <w:r>
        <w:rPr>
          <w:lang w:val="de-DE"/>
        </w:rPr>
        <w:t xml:space="preserve"> brennt; alle drücken und quetschen einander und drängen an die Thür, die sich nach innen öffnet. Es erscheint der Erlöser und sagt: Tretet zurück von der </w:t>
      </w:r>
      <w:proofErr w:type="spellStart"/>
      <w:r>
        <w:rPr>
          <w:lang w:val="de-DE"/>
        </w:rPr>
        <w:t>Thüre</w:t>
      </w:r>
      <w:proofErr w:type="spellEnd"/>
      <w:r>
        <w:rPr>
          <w:lang w:val="de-DE"/>
        </w:rPr>
        <w:t xml:space="preserve">, kehret um: je mehr ihr drängt, um so weniger Hoffnung habt ihr auf Rettung. Kehret um und ihr werdet einen Ausgang finden und euch retten.“ (218) </w:t>
      </w:r>
    </w:p>
    <w:p w:rsidR="00235BD7" w:rsidRDefault="00235BD7">
      <w:pPr>
        <w:rPr>
          <w:lang w:val="de-DE"/>
        </w:rPr>
      </w:pPr>
      <w:r>
        <w:rPr>
          <w:lang w:val="de-DE"/>
        </w:rPr>
        <w:t>„Die Lehre über das Leben [</w:t>
      </w:r>
      <w:proofErr w:type="spellStart"/>
      <w:r>
        <w:rPr>
          <w:lang w:val="de-DE"/>
        </w:rPr>
        <w:t>doxa</w:t>
      </w:r>
      <w:proofErr w:type="spellEnd"/>
      <w:r>
        <w:rPr>
          <w:lang w:val="de-DE"/>
        </w:rPr>
        <w:t xml:space="preserve">] ist die Basis </w:t>
      </w:r>
      <w:proofErr w:type="gramStart"/>
      <w:r>
        <w:rPr>
          <w:lang w:val="de-DE"/>
        </w:rPr>
        <w:t>des Glauben</w:t>
      </w:r>
      <w:proofErr w:type="gramEnd"/>
      <w:r>
        <w:rPr>
          <w:lang w:val="de-DE"/>
        </w:rPr>
        <w:t>. Alle Werke entstehen aus dem Glauben. Die Religionen aber haben alle ihren Ursprung in der [</w:t>
      </w:r>
      <w:proofErr w:type="spellStart"/>
      <w:r>
        <w:rPr>
          <w:lang w:val="de-DE"/>
        </w:rPr>
        <w:t>doxa</w:t>
      </w:r>
      <w:proofErr w:type="spellEnd"/>
      <w:r>
        <w:rPr>
          <w:lang w:val="de-DE"/>
        </w:rPr>
        <w:t xml:space="preserve">], in jenem Sinne, den wir dem Leben zuschreiben. Der Werke kann es eine unzählige Menge geben; der Religionen </w:t>
      </w:r>
      <w:proofErr w:type="spellStart"/>
      <w:r>
        <w:rPr>
          <w:lang w:val="de-DE"/>
        </w:rPr>
        <w:t>giebt</w:t>
      </w:r>
      <w:proofErr w:type="spellEnd"/>
      <w:r>
        <w:rPr>
          <w:lang w:val="de-DE"/>
        </w:rPr>
        <w:t xml:space="preserve"> es auch viele; der Lehren aber über das Leben [</w:t>
      </w:r>
      <w:proofErr w:type="spellStart"/>
      <w:r>
        <w:rPr>
          <w:lang w:val="de-DE"/>
        </w:rPr>
        <w:t>doxa</w:t>
      </w:r>
      <w:proofErr w:type="spellEnd"/>
      <w:r>
        <w:rPr>
          <w:lang w:val="de-DE"/>
        </w:rPr>
        <w:t xml:space="preserve">] sind nur zwei: die eine davon verwirft Christus, die andere erkennt er an.“ (227) </w:t>
      </w:r>
    </w:p>
    <w:p w:rsidR="00235BD7" w:rsidRDefault="0051452C">
      <w:pPr>
        <w:rPr>
          <w:lang w:val="de-DE"/>
        </w:rPr>
      </w:pPr>
      <w:r>
        <w:rPr>
          <w:lang w:val="de-DE"/>
        </w:rPr>
        <w:t xml:space="preserve">„Man </w:t>
      </w:r>
      <w:proofErr w:type="spellStart"/>
      <w:r>
        <w:rPr>
          <w:lang w:val="de-DE"/>
        </w:rPr>
        <w:t>muß</w:t>
      </w:r>
      <w:proofErr w:type="spellEnd"/>
      <w:r>
        <w:rPr>
          <w:lang w:val="de-DE"/>
        </w:rPr>
        <w:t xml:space="preserve"> begreifen, </w:t>
      </w:r>
      <w:proofErr w:type="spellStart"/>
      <w:r>
        <w:rPr>
          <w:lang w:val="de-DE"/>
        </w:rPr>
        <w:t>daß</w:t>
      </w:r>
      <w:proofErr w:type="spellEnd"/>
      <w:r>
        <w:rPr>
          <w:lang w:val="de-DE"/>
        </w:rPr>
        <w:t xml:space="preserve"> die einzige Rettung vom unvermeidlichen Untergange des Lebens das gemeinschaftliche Leben nach dem Willen des Herrn ist.“ (235)</w:t>
      </w:r>
    </w:p>
    <w:p w:rsidR="0051452C" w:rsidRDefault="0051452C">
      <w:pPr>
        <w:rPr>
          <w:lang w:val="de-DE"/>
        </w:rPr>
      </w:pPr>
      <w:r>
        <w:rPr>
          <w:lang w:val="de-DE"/>
        </w:rPr>
        <w:t xml:space="preserve">„Die Lehre des Lebens, von dem, was bei allen Völkern vor unserer europäischen Gesellschaft stets für das Richtigste gehalten worden, von dem, wovon Christus sagt, es sei ‚das eine, was not </w:t>
      </w:r>
      <w:proofErr w:type="spellStart"/>
      <w:r>
        <w:rPr>
          <w:lang w:val="de-DE"/>
        </w:rPr>
        <w:t>thut</w:t>
      </w:r>
      <w:proofErr w:type="spellEnd"/>
      <w:r>
        <w:rPr>
          <w:lang w:val="de-DE"/>
        </w:rPr>
        <w:t xml:space="preserve">‘ – diese, und diese allein, ist aus </w:t>
      </w:r>
      <w:r w:rsidR="00EA67C9">
        <w:rPr>
          <w:lang w:val="de-DE"/>
        </w:rPr>
        <w:t xml:space="preserve">unserem Leben und aus dem ganzen Bereiche menschlicher </w:t>
      </w:r>
      <w:proofErr w:type="spellStart"/>
      <w:r w:rsidR="00EA67C9">
        <w:rPr>
          <w:lang w:val="de-DE"/>
        </w:rPr>
        <w:t>Thätigkeiten</w:t>
      </w:r>
      <w:proofErr w:type="spellEnd"/>
      <w:r w:rsidR="00EA67C9">
        <w:rPr>
          <w:lang w:val="de-DE"/>
        </w:rPr>
        <w:t xml:space="preserve"> ausgeschlossen.“ (241) </w:t>
      </w:r>
    </w:p>
    <w:p w:rsidR="00EA67C9" w:rsidRDefault="00EA67C9">
      <w:pPr>
        <w:rPr>
          <w:lang w:val="de-DE"/>
        </w:rPr>
      </w:pPr>
      <w:r>
        <w:rPr>
          <w:lang w:val="de-DE"/>
        </w:rPr>
        <w:t xml:space="preserve">„Eine andere unzweifelhafte Vorbedingung zum Glücke ist – Arbeit: erstens angenehme und freie Arbeit; zweitens physische Arbeit, die Appetit und festen, ruhigen Schlaf </w:t>
      </w:r>
      <w:proofErr w:type="spellStart"/>
      <w:r>
        <w:rPr>
          <w:lang w:val="de-DE"/>
        </w:rPr>
        <w:t>giebt</w:t>
      </w:r>
      <w:proofErr w:type="spellEnd"/>
      <w:r>
        <w:rPr>
          <w:lang w:val="de-DE"/>
        </w:rPr>
        <w:t>.“ (257)</w:t>
      </w:r>
    </w:p>
    <w:p w:rsidR="00EA67C9" w:rsidRDefault="00EA67C9">
      <w:pPr>
        <w:rPr>
          <w:lang w:val="de-DE"/>
        </w:rPr>
      </w:pPr>
      <w:r>
        <w:rPr>
          <w:lang w:val="de-DE"/>
        </w:rPr>
        <w:t>„Das alles sind Märtyrer der Lehre der Welt, die, ohne Christi Lehre zu befolgen, nur der Lehre der Welt nicht zu folgen brauchten, um den Leiden und dem Tode zu entgehen.“ (265)</w:t>
      </w:r>
    </w:p>
    <w:p w:rsidR="00EA67C9" w:rsidRDefault="00EA67C9">
      <w:pPr>
        <w:rPr>
          <w:lang w:val="de-DE"/>
        </w:rPr>
      </w:pPr>
      <w:r>
        <w:rPr>
          <w:lang w:val="de-DE"/>
        </w:rPr>
        <w:t xml:space="preserve">„er braucht nur alle jene Albernheiten, welche die Lehre der Welt von ihm verlangt, nicht zu </w:t>
      </w:r>
      <w:proofErr w:type="spellStart"/>
      <w:r>
        <w:rPr>
          <w:lang w:val="de-DE"/>
        </w:rPr>
        <w:t>thun</w:t>
      </w:r>
      <w:proofErr w:type="spellEnd"/>
      <w:r>
        <w:rPr>
          <w:lang w:val="de-DE"/>
        </w:rPr>
        <w:t>, und er wird keine übermäßige Arbeit und Qual, keine fortwährende Sorge und Mühe ohne Erholung und ohne Zweck kennen“ (266)</w:t>
      </w:r>
    </w:p>
    <w:p w:rsidR="00EA67C9" w:rsidRDefault="00EA67C9">
      <w:pPr>
        <w:rPr>
          <w:lang w:val="de-DE"/>
        </w:rPr>
      </w:pPr>
      <w:r>
        <w:rPr>
          <w:lang w:val="de-DE"/>
        </w:rPr>
        <w:t xml:space="preserve">„Der Unterschied zwischen der Lehre Christi und der Lehre unserer Welt über die Arbeit besteht darin, </w:t>
      </w:r>
      <w:proofErr w:type="spellStart"/>
      <w:r>
        <w:rPr>
          <w:lang w:val="de-DE"/>
        </w:rPr>
        <w:t>daß</w:t>
      </w:r>
      <w:proofErr w:type="spellEnd"/>
      <w:r>
        <w:rPr>
          <w:lang w:val="de-DE"/>
        </w:rPr>
        <w:t xml:space="preserve"> nach der Lehre der Welt die Arbeit ein besonderer Verdienst des Menschen ist, worüber er mit anderen rechnet und voraussetzt, ein Anrecht auf um so größeren Unterhalt zu besitzen, je größer oder vorteilhafter seine Arbeit ist; nach der Lehre Christi hingegen ist die Arbeit eine notwendige Bedingung des Lebens des Menschen und die Nah-[277]</w:t>
      </w:r>
      <w:proofErr w:type="spellStart"/>
      <w:r>
        <w:rPr>
          <w:lang w:val="de-DE"/>
        </w:rPr>
        <w:t>rung</w:t>
      </w:r>
      <w:proofErr w:type="spellEnd"/>
      <w:r>
        <w:rPr>
          <w:lang w:val="de-DE"/>
        </w:rPr>
        <w:t xml:space="preserve"> ihre notwendige Folge.“ (276-277)</w:t>
      </w:r>
    </w:p>
    <w:p w:rsidR="00C247EA" w:rsidRDefault="008F7C33">
      <w:pPr>
        <w:rPr>
          <w:lang w:val="de-DE"/>
        </w:rPr>
      </w:pPr>
      <w:r>
        <w:rPr>
          <w:lang w:val="de-DE"/>
        </w:rPr>
        <w:lastRenderedPageBreak/>
        <w:t>„Arbeit ist die notwendige Bedingung des menschlichen Lebens. Und Arbeit verleiht dem Menschen Glückseligkeit.“ (283)</w:t>
      </w:r>
    </w:p>
    <w:p w:rsidR="008F7C33" w:rsidRDefault="008F7C33">
      <w:pPr>
        <w:rPr>
          <w:lang w:val="de-DE"/>
        </w:rPr>
      </w:pPr>
      <w:r>
        <w:rPr>
          <w:lang w:val="de-DE"/>
        </w:rPr>
        <w:t xml:space="preserve">„Christus lehrt vor allen Dingen, </w:t>
      </w:r>
      <w:proofErr w:type="spellStart"/>
      <w:r>
        <w:rPr>
          <w:lang w:val="de-DE"/>
        </w:rPr>
        <w:t>daß</w:t>
      </w:r>
      <w:proofErr w:type="spellEnd"/>
      <w:r>
        <w:rPr>
          <w:lang w:val="de-DE"/>
        </w:rPr>
        <w:t xml:space="preserve"> die </w:t>
      </w:r>
      <w:proofErr w:type="spellStart"/>
      <w:r>
        <w:rPr>
          <w:lang w:val="de-DE"/>
        </w:rPr>
        <w:t>Men</w:t>
      </w:r>
      <w:proofErr w:type="spellEnd"/>
      <w:proofErr w:type="gramStart"/>
      <w:r>
        <w:rPr>
          <w:lang w:val="de-DE"/>
        </w:rPr>
        <w:t>-[</w:t>
      </w:r>
      <w:proofErr w:type="gramEnd"/>
      <w:r>
        <w:rPr>
          <w:lang w:val="de-DE"/>
        </w:rPr>
        <w:t>323]</w:t>
      </w:r>
      <w:proofErr w:type="spellStart"/>
      <w:r>
        <w:rPr>
          <w:lang w:val="de-DE"/>
        </w:rPr>
        <w:t>schen</w:t>
      </w:r>
      <w:proofErr w:type="spellEnd"/>
      <w:r>
        <w:rPr>
          <w:lang w:val="de-DE"/>
        </w:rPr>
        <w:t xml:space="preserve"> an das Licht glauben sollen, solange das Licht in ihnen ist. Christus lehrt, </w:t>
      </w:r>
      <w:proofErr w:type="spellStart"/>
      <w:r>
        <w:rPr>
          <w:lang w:val="de-DE"/>
        </w:rPr>
        <w:t>daß</w:t>
      </w:r>
      <w:proofErr w:type="spellEnd"/>
      <w:r>
        <w:rPr>
          <w:lang w:val="de-DE"/>
        </w:rPr>
        <w:t xml:space="preserve"> die Menschen dieses Licht der Vernunft </w:t>
      </w:r>
      <w:proofErr w:type="gramStart"/>
      <w:r>
        <w:rPr>
          <w:lang w:val="de-DE"/>
        </w:rPr>
        <w:t>höher stellen</w:t>
      </w:r>
      <w:proofErr w:type="gramEnd"/>
      <w:r>
        <w:rPr>
          <w:lang w:val="de-DE"/>
        </w:rPr>
        <w:t xml:space="preserve"> als alles, entsprechend leben und das nicht </w:t>
      </w:r>
      <w:proofErr w:type="spellStart"/>
      <w:r>
        <w:rPr>
          <w:lang w:val="de-DE"/>
        </w:rPr>
        <w:t>thun</w:t>
      </w:r>
      <w:proofErr w:type="spellEnd"/>
      <w:r>
        <w:rPr>
          <w:lang w:val="de-DE"/>
        </w:rPr>
        <w:t xml:space="preserve"> sollen, was sie selbst für unvernünftig halten. Haltet ihr es für unvernünftig hinzugehen und Deutsche oder Türken zu töten – so gehet nicht; haltet ihr es für unvernünftig, die Arbeit armer Leute mit Gewalt auszubeuten, um einen </w:t>
      </w:r>
      <w:proofErr w:type="spellStart"/>
      <w:r>
        <w:rPr>
          <w:lang w:val="de-DE"/>
        </w:rPr>
        <w:t>Cylinder</w:t>
      </w:r>
      <w:proofErr w:type="spellEnd"/>
      <w:r>
        <w:rPr>
          <w:lang w:val="de-DE"/>
        </w:rPr>
        <w:t xml:space="preserve"> aufzusetzen und euch in ein Korsett zu schnüren oder ein euch lästiges Prunkzimmer einzurichten – so </w:t>
      </w:r>
      <w:proofErr w:type="spellStart"/>
      <w:r>
        <w:rPr>
          <w:lang w:val="de-DE"/>
        </w:rPr>
        <w:t>thut</w:t>
      </w:r>
      <w:proofErr w:type="spellEnd"/>
      <w:r>
        <w:rPr>
          <w:lang w:val="de-DE"/>
        </w:rPr>
        <w:t xml:space="preserve"> es nicht; haltet ihr es für unvernünftig, die durch Müßiggang und schlechte Gesellschaft auf Abwege Geratenen ins </w:t>
      </w:r>
      <w:proofErr w:type="spellStart"/>
      <w:r>
        <w:rPr>
          <w:lang w:val="de-DE"/>
        </w:rPr>
        <w:t>Gefägnis</w:t>
      </w:r>
      <w:proofErr w:type="spellEnd"/>
      <w:r>
        <w:rPr>
          <w:lang w:val="de-DE"/>
        </w:rPr>
        <w:t xml:space="preserve"> zu sperren, d.h. zu der allerschlechtesten Gesellschaft und zum gänzlichen Müßiggang – so </w:t>
      </w:r>
      <w:proofErr w:type="spellStart"/>
      <w:r>
        <w:rPr>
          <w:lang w:val="de-DE"/>
        </w:rPr>
        <w:t>thut</w:t>
      </w:r>
      <w:proofErr w:type="spellEnd"/>
      <w:r>
        <w:rPr>
          <w:lang w:val="de-DE"/>
        </w:rPr>
        <w:t xml:space="preserve"> es nicht; haltet ihr es für unvernünftig, in ungesunder Stadtluft zu leben, wenn ihr in freier Luft leben könnt, haltet ihr es für unvernünftig, die Kinder hauptsächlich und am meisten in der Grammatik toter Sprachen zu unterrichten – so </w:t>
      </w:r>
      <w:proofErr w:type="spellStart"/>
      <w:r>
        <w:rPr>
          <w:lang w:val="de-DE"/>
        </w:rPr>
        <w:t>thut</w:t>
      </w:r>
      <w:proofErr w:type="spellEnd"/>
      <w:r>
        <w:rPr>
          <w:lang w:val="de-DE"/>
        </w:rPr>
        <w:t xml:space="preserve"> es nicht. Kurz, </w:t>
      </w:r>
      <w:proofErr w:type="spellStart"/>
      <w:r>
        <w:rPr>
          <w:lang w:val="de-DE"/>
        </w:rPr>
        <w:t>thut</w:t>
      </w:r>
      <w:proofErr w:type="spellEnd"/>
      <w:r>
        <w:rPr>
          <w:lang w:val="de-DE"/>
        </w:rPr>
        <w:t xml:space="preserve"> nicht das, was heutzutage unsere ganze europäische Welt </w:t>
      </w:r>
      <w:proofErr w:type="spellStart"/>
      <w:r>
        <w:rPr>
          <w:lang w:val="de-DE"/>
        </w:rPr>
        <w:t>thut</w:t>
      </w:r>
      <w:proofErr w:type="spellEnd"/>
      <w:r>
        <w:rPr>
          <w:lang w:val="de-DE"/>
        </w:rPr>
        <w:t xml:space="preserve">: ein Leben </w:t>
      </w:r>
      <w:proofErr w:type="gramStart"/>
      <w:r>
        <w:rPr>
          <w:lang w:val="de-DE"/>
        </w:rPr>
        <w:t>führen</w:t>
      </w:r>
      <w:proofErr w:type="gramEnd"/>
      <w:r>
        <w:rPr>
          <w:lang w:val="de-DE"/>
        </w:rPr>
        <w:t>, das man nicht für vernünftig hält, handeln und seine Handlungen nicht für vernünftig halten, mit einem Wort: an seine Vernunft nicht glauben und im Widerspruch mit ihr leben.“ (322-323)</w:t>
      </w:r>
    </w:p>
    <w:p w:rsidR="00E954F8" w:rsidRDefault="00E954F8">
      <w:pPr>
        <w:rPr>
          <w:lang w:val="de-DE"/>
        </w:rPr>
      </w:pPr>
      <w:r>
        <w:rPr>
          <w:lang w:val="de-DE"/>
        </w:rPr>
        <w:t xml:space="preserve">„Alles Böse, das sie mir zufügen werden, wird böse sein für sie selbst, und deshalb müssen sie mir Gutes </w:t>
      </w:r>
      <w:proofErr w:type="spellStart"/>
      <w:r>
        <w:rPr>
          <w:lang w:val="de-DE"/>
        </w:rPr>
        <w:t>thun</w:t>
      </w:r>
      <w:proofErr w:type="spellEnd"/>
      <w:r>
        <w:rPr>
          <w:lang w:val="de-DE"/>
        </w:rPr>
        <w:t xml:space="preserve">. Wenn ihnen jedoch auch die Wahrheit unbekannt ist und sie Böses </w:t>
      </w:r>
      <w:proofErr w:type="spellStart"/>
      <w:proofErr w:type="gramStart"/>
      <w:r>
        <w:rPr>
          <w:lang w:val="de-DE"/>
        </w:rPr>
        <w:t>thun</w:t>
      </w:r>
      <w:proofErr w:type="spellEnd"/>
      <w:r>
        <w:rPr>
          <w:lang w:val="de-DE"/>
        </w:rPr>
        <w:t>,  indem</w:t>
      </w:r>
      <w:proofErr w:type="gramEnd"/>
      <w:r>
        <w:rPr>
          <w:lang w:val="de-DE"/>
        </w:rPr>
        <w:t xml:space="preserve"> sie es für das Gute halten, so ward mir die Erkenntnis der Wahrheit nur darum kund, auf </w:t>
      </w:r>
      <w:proofErr w:type="spellStart"/>
      <w:r>
        <w:rPr>
          <w:lang w:val="de-DE"/>
        </w:rPr>
        <w:t>daß</w:t>
      </w:r>
      <w:proofErr w:type="spellEnd"/>
      <w:r>
        <w:rPr>
          <w:lang w:val="de-DE"/>
        </w:rPr>
        <w:t xml:space="preserve"> ich sie denen offenbare, die sie nicht kennen. Ich kann sie ihnen aber nicht anders offenbaren, als indem ich mich lossage von der Teilnahme am Bösen und der Offenbarung der Wahrheit durch die </w:t>
      </w:r>
      <w:proofErr w:type="spellStart"/>
      <w:r>
        <w:rPr>
          <w:lang w:val="de-DE"/>
        </w:rPr>
        <w:t>That</w:t>
      </w:r>
      <w:proofErr w:type="spellEnd"/>
      <w:r>
        <w:rPr>
          <w:lang w:val="de-DE"/>
        </w:rPr>
        <w:t xml:space="preserve">.“ (349) </w:t>
      </w:r>
    </w:p>
    <w:p w:rsidR="00E954F8" w:rsidRPr="00C247EA" w:rsidRDefault="00E954F8">
      <w:pPr>
        <w:rPr>
          <w:lang w:val="de-DE"/>
        </w:rPr>
      </w:pPr>
      <w:r>
        <w:rPr>
          <w:lang w:val="de-DE"/>
        </w:rPr>
        <w:t xml:space="preserve">„Den Menschen aber die Erkenntnis der Wahrheit mitteilen kann der Christ nicht anders als durch die Enthaltung von jener Verirrung, in der sich die Menschen befinden, die ihm Böses zufügen, durch Vergeltung des Bösen mit Gutem.“ (352) </w:t>
      </w:r>
      <w:bookmarkStart w:id="0" w:name="_GoBack"/>
      <w:bookmarkEnd w:id="0"/>
    </w:p>
    <w:sectPr w:rsidR="00E954F8" w:rsidRPr="00C247EA"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7EA"/>
    <w:rsid w:val="001231ED"/>
    <w:rsid w:val="00235BD7"/>
    <w:rsid w:val="00395CDE"/>
    <w:rsid w:val="0051452C"/>
    <w:rsid w:val="0055526E"/>
    <w:rsid w:val="00635244"/>
    <w:rsid w:val="006E0AF6"/>
    <w:rsid w:val="008F7C33"/>
    <w:rsid w:val="00B90A37"/>
    <w:rsid w:val="00C247EA"/>
    <w:rsid w:val="00E954F8"/>
    <w:rsid w:val="00EA6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6666981"/>
  <w14:defaultImageDpi w14:val="32767"/>
  <w15:chartTrackingRefBased/>
  <w15:docId w15:val="{3CE232C5-330D-1F4F-9A0B-A55425C13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849</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2019-11-16T03:16:00Z</dcterms:created>
  <dcterms:modified xsi:type="dcterms:W3CDTF">2019-11-16T15:52:00Z</dcterms:modified>
</cp:coreProperties>
</file>