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9F0AE4" w:rsidRDefault="009F0AE4">
      <w:pPr>
        <w:rPr>
          <w:b/>
          <w:lang w:val="de-DE"/>
        </w:rPr>
      </w:pPr>
      <w:r w:rsidRPr="009F0AE4">
        <w:rPr>
          <w:b/>
          <w:lang w:val="de-DE"/>
        </w:rPr>
        <w:t xml:space="preserve">Die erste Stufe. Von Leo Tolstoi. Aus dem Russischen übersetzt von Wilhelm Henckel. Berlin. Eduard </w:t>
      </w:r>
      <w:proofErr w:type="spellStart"/>
      <w:r w:rsidRPr="009F0AE4">
        <w:rPr>
          <w:b/>
          <w:lang w:val="de-DE"/>
        </w:rPr>
        <w:t>Rentzel</w:t>
      </w:r>
      <w:proofErr w:type="spellEnd"/>
      <w:r w:rsidRPr="009F0AE4">
        <w:rPr>
          <w:b/>
          <w:lang w:val="de-DE"/>
        </w:rPr>
        <w:t>. 1892.</w:t>
      </w:r>
    </w:p>
    <w:p w:rsidR="009F0AE4" w:rsidRDefault="009F0AE4">
      <w:pPr>
        <w:rPr>
          <w:lang w:val="de-DE"/>
        </w:rPr>
      </w:pPr>
    </w:p>
    <w:p w:rsidR="009F0AE4" w:rsidRDefault="009F0AE4">
      <w:pPr>
        <w:rPr>
          <w:lang w:val="de-DE"/>
        </w:rPr>
      </w:pPr>
      <w:r>
        <w:rPr>
          <w:lang w:val="de-DE"/>
        </w:rPr>
        <w:t xml:space="preserve">„die der Verfasser als Vorrede zu einer </w:t>
      </w:r>
      <w:proofErr w:type="spellStart"/>
      <w:r>
        <w:rPr>
          <w:lang w:val="de-DE"/>
        </w:rPr>
        <w:t>Uebersetzung</w:t>
      </w:r>
      <w:proofErr w:type="spellEnd"/>
      <w:r>
        <w:rPr>
          <w:lang w:val="de-DE"/>
        </w:rPr>
        <w:t xml:space="preserve"> des Buchs von Howard Williams ‚The </w:t>
      </w:r>
      <w:proofErr w:type="spellStart"/>
      <w:r>
        <w:rPr>
          <w:lang w:val="de-DE"/>
        </w:rPr>
        <w:t>Ethics</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Diet</w:t>
      </w:r>
      <w:proofErr w:type="spellEnd"/>
      <w:r>
        <w:rPr>
          <w:lang w:val="de-DE"/>
        </w:rPr>
        <w:t>‘ bestimmte und der er den Titel ‚Die erste Stufe‘ gab.“ (3)</w:t>
      </w:r>
    </w:p>
    <w:p w:rsidR="009F0AE4" w:rsidRDefault="009F0AE4">
      <w:pPr>
        <w:rPr>
          <w:lang w:val="de-DE"/>
        </w:rPr>
      </w:pPr>
      <w:r>
        <w:rPr>
          <w:lang w:val="de-DE"/>
        </w:rPr>
        <w:t>„Leo Tolstoi ist eine [4] Persönlichkeit, die manche wie einen neuen Messias verehren, andere dagegen wie einen Halbverrückten verspotten und verhöhnen“ (3-4) [Vorwort]</w:t>
      </w:r>
    </w:p>
    <w:p w:rsidR="009F0AE4" w:rsidRDefault="009F0AE4">
      <w:pPr>
        <w:rPr>
          <w:lang w:val="de-DE"/>
        </w:rPr>
      </w:pPr>
      <w:r>
        <w:rPr>
          <w:lang w:val="de-DE"/>
        </w:rPr>
        <w:t>„</w:t>
      </w:r>
      <w:proofErr w:type="spellStart"/>
      <w:r>
        <w:rPr>
          <w:lang w:val="de-DE"/>
        </w:rPr>
        <w:t>ebensowenig</w:t>
      </w:r>
      <w:proofErr w:type="spellEnd"/>
      <w:r>
        <w:rPr>
          <w:lang w:val="de-DE"/>
        </w:rPr>
        <w:t xml:space="preserve"> kann man auch ernstlich ein gutes Leben führen wollen, ohne einen bestimmten Stufengang zur Erlangung der dazu </w:t>
      </w:r>
      <w:proofErr w:type="spellStart"/>
      <w:r>
        <w:rPr>
          <w:lang w:val="de-DE"/>
        </w:rPr>
        <w:t>unerläßlichen</w:t>
      </w:r>
      <w:proofErr w:type="spellEnd"/>
      <w:r>
        <w:rPr>
          <w:lang w:val="de-DE"/>
        </w:rPr>
        <w:t xml:space="preserve"> Eigenschaften zu verfolgen.</w:t>
      </w:r>
    </w:p>
    <w:p w:rsidR="009F0AE4" w:rsidRDefault="009F0AE4">
      <w:pPr>
        <w:rPr>
          <w:lang w:val="de-DE"/>
        </w:rPr>
      </w:pPr>
      <w:r>
        <w:rPr>
          <w:lang w:val="de-DE"/>
        </w:rPr>
        <w:t xml:space="preserve">Diese Regel ist bei den Werken einer guten Lebensführung besonders wichtig“ (5) </w:t>
      </w:r>
    </w:p>
    <w:p w:rsidR="009F0AE4" w:rsidRDefault="009F0AE4">
      <w:pPr>
        <w:rPr>
          <w:lang w:val="de-DE"/>
        </w:rPr>
      </w:pPr>
      <w:r>
        <w:rPr>
          <w:lang w:val="de-DE"/>
        </w:rPr>
        <w:t xml:space="preserve">„infolge dessen ist auch die Vorstellung von dem, worin ein gutes Leben besteht, in unsrer Zeit und unter der Mehrzahl von Weltmenschen außerordentlich verworren. Es ist der Begriff von dem, was ein gutes Leben ist, </w:t>
      </w:r>
      <w:proofErr w:type="gramStart"/>
      <w:r>
        <w:rPr>
          <w:lang w:val="de-DE"/>
        </w:rPr>
        <w:t>abhanden gekommen</w:t>
      </w:r>
      <w:proofErr w:type="gramEnd"/>
      <w:r>
        <w:rPr>
          <w:lang w:val="de-DE"/>
        </w:rPr>
        <w:t xml:space="preserve">.“ (8) </w:t>
      </w:r>
    </w:p>
    <w:p w:rsidR="009F0AE4" w:rsidRDefault="009F0AE4">
      <w:pPr>
        <w:rPr>
          <w:lang w:val="de-DE"/>
        </w:rPr>
      </w:pPr>
      <w:r>
        <w:rPr>
          <w:lang w:val="de-DE"/>
        </w:rPr>
        <w:t xml:space="preserve">„Platos Tugenden, beginnend mit der Enthaltsamkeit, erreichen, nach der Tapferkeit und der Weisheit, die Gerechtigkeit; die christlichen Tugenden beginnen mit der Selbstverleugnung und erreichen, nach der Ergebung in den Willen Gottes, die Liebe.“ (8) </w:t>
      </w:r>
    </w:p>
    <w:p w:rsidR="003D433A" w:rsidRDefault="003D433A">
      <w:pPr>
        <w:rPr>
          <w:lang w:val="de-DE"/>
        </w:rPr>
      </w:pPr>
      <w:r>
        <w:rPr>
          <w:lang w:val="de-DE"/>
        </w:rPr>
        <w:t xml:space="preserve">„Die Menschen, welche das </w:t>
      </w:r>
      <w:proofErr w:type="spellStart"/>
      <w:r>
        <w:rPr>
          <w:lang w:val="de-DE"/>
        </w:rPr>
        <w:t>Christenthum</w:t>
      </w:r>
      <w:proofErr w:type="spellEnd"/>
      <w:r>
        <w:rPr>
          <w:lang w:val="de-DE"/>
        </w:rPr>
        <w:t xml:space="preserve"> annahmen und sich ein gutes christliches Leben anzueignen strebten, </w:t>
      </w:r>
      <w:proofErr w:type="spellStart"/>
      <w:r>
        <w:rPr>
          <w:lang w:val="de-DE"/>
        </w:rPr>
        <w:t>faßten</w:t>
      </w:r>
      <w:proofErr w:type="spellEnd"/>
      <w:r>
        <w:rPr>
          <w:lang w:val="de-DE"/>
        </w:rPr>
        <w:t xml:space="preserve"> das </w:t>
      </w:r>
      <w:proofErr w:type="spellStart"/>
      <w:r>
        <w:rPr>
          <w:lang w:val="de-DE"/>
        </w:rPr>
        <w:t>Christenthum</w:t>
      </w:r>
      <w:proofErr w:type="spellEnd"/>
      <w:r>
        <w:rPr>
          <w:lang w:val="de-DE"/>
        </w:rPr>
        <w:t xml:space="preserve"> auch so auf und begannen ihr gutes Leben stets mit der Lossagung von ihren Lüsten; diese Lossagung </w:t>
      </w:r>
      <w:proofErr w:type="spellStart"/>
      <w:r>
        <w:rPr>
          <w:lang w:val="de-DE"/>
        </w:rPr>
        <w:t>schloß</w:t>
      </w:r>
      <w:proofErr w:type="spellEnd"/>
      <w:r>
        <w:rPr>
          <w:lang w:val="de-DE"/>
        </w:rPr>
        <w:t xml:space="preserve"> die heidnische Enthaltsamkeit in sich.“ (9) </w:t>
      </w:r>
    </w:p>
    <w:p w:rsidR="003D433A" w:rsidRDefault="003D433A">
      <w:pPr>
        <w:rPr>
          <w:lang w:val="de-DE"/>
        </w:rPr>
      </w:pPr>
      <w:r>
        <w:rPr>
          <w:lang w:val="de-DE"/>
        </w:rPr>
        <w:t xml:space="preserve">„Weder Christ noch Heide kann es vermeiden, das Werk der Vervollkommnung beim Anfang, d.h. mit der Enthaltsamkeit, zu beginnen, ebenso wenig wie derjenige, der eine Leiter besteigen will, es nicht vermeiden kann, bei der ersten Sprosse anzufangen. Der Unterschied besteht nur darin, </w:t>
      </w:r>
      <w:proofErr w:type="spellStart"/>
      <w:r>
        <w:rPr>
          <w:lang w:val="de-DE"/>
        </w:rPr>
        <w:t>daß</w:t>
      </w:r>
      <w:proofErr w:type="spellEnd"/>
      <w:r>
        <w:rPr>
          <w:lang w:val="de-DE"/>
        </w:rPr>
        <w:t xml:space="preserve"> dem Heiden die Enthaltsamkeit schon an und für sich als eine Tugend erscheint; für den Christen ist aber die Enthaltsamkeit nur ein </w:t>
      </w:r>
      <w:proofErr w:type="spellStart"/>
      <w:r>
        <w:rPr>
          <w:lang w:val="de-DE"/>
        </w:rPr>
        <w:t>Theil</w:t>
      </w:r>
      <w:proofErr w:type="spellEnd"/>
      <w:r>
        <w:rPr>
          <w:lang w:val="de-DE"/>
        </w:rPr>
        <w:t xml:space="preserve"> der Ergebung in den Willen Gottes, die ihrerseits wieder eine </w:t>
      </w:r>
      <w:proofErr w:type="spellStart"/>
      <w:r>
        <w:rPr>
          <w:lang w:val="de-DE"/>
        </w:rPr>
        <w:t>nothwendige</w:t>
      </w:r>
      <w:proofErr w:type="spellEnd"/>
      <w:r>
        <w:rPr>
          <w:lang w:val="de-DE"/>
        </w:rPr>
        <w:t xml:space="preserve"> Vorbedingung zum Streben nach Vollkommenheit ist. Daher konnte auch das wahre </w:t>
      </w:r>
      <w:proofErr w:type="spellStart"/>
      <w:r>
        <w:rPr>
          <w:lang w:val="de-DE"/>
        </w:rPr>
        <w:t>Christenthum</w:t>
      </w:r>
      <w:proofErr w:type="spellEnd"/>
      <w:r>
        <w:rPr>
          <w:lang w:val="de-DE"/>
        </w:rPr>
        <w:t xml:space="preserve"> bei seinem Erscheinen die Tugenden, welche auch das </w:t>
      </w:r>
      <w:proofErr w:type="spellStart"/>
      <w:r>
        <w:rPr>
          <w:lang w:val="de-DE"/>
        </w:rPr>
        <w:t>Heidenthum</w:t>
      </w:r>
      <w:proofErr w:type="spellEnd"/>
      <w:r>
        <w:rPr>
          <w:lang w:val="de-DE"/>
        </w:rPr>
        <w:t xml:space="preserve"> lehrt, nicht verwerfen.“ (11) </w:t>
      </w:r>
    </w:p>
    <w:p w:rsidR="00E6523D" w:rsidRDefault="00E6523D">
      <w:pPr>
        <w:rPr>
          <w:lang w:val="de-DE"/>
        </w:rPr>
      </w:pPr>
      <w:r>
        <w:rPr>
          <w:lang w:val="de-DE"/>
        </w:rPr>
        <w:t>„In alten Zeiten, als die christliche Lehre noch nicht vorhanden war, galt bei allen Lehrern der Lebensweisheit, von Sokrates angefangen, die Enthaltsamkeit – [</w:t>
      </w:r>
      <w:proofErr w:type="spellStart"/>
      <w:r>
        <w:rPr>
          <w:lang w:val="de-DE"/>
        </w:rPr>
        <w:t>enkrateia</w:t>
      </w:r>
      <w:proofErr w:type="spellEnd"/>
      <w:r>
        <w:rPr>
          <w:lang w:val="de-DE"/>
        </w:rPr>
        <w:t xml:space="preserve">] oder […] – als erste Tugend und es war begreiflich, </w:t>
      </w:r>
      <w:proofErr w:type="spellStart"/>
      <w:r>
        <w:rPr>
          <w:lang w:val="de-DE"/>
        </w:rPr>
        <w:t>daß</w:t>
      </w:r>
      <w:proofErr w:type="spellEnd"/>
      <w:r>
        <w:rPr>
          <w:lang w:val="de-DE"/>
        </w:rPr>
        <w:t xml:space="preserve"> mit ihr jede Tugend beginnen und durch sie hindurchgehen müsse. Es war klar, </w:t>
      </w:r>
      <w:proofErr w:type="spellStart"/>
      <w:r>
        <w:rPr>
          <w:lang w:val="de-DE"/>
        </w:rPr>
        <w:t>daß</w:t>
      </w:r>
      <w:proofErr w:type="spellEnd"/>
      <w:r>
        <w:rPr>
          <w:lang w:val="de-DE"/>
        </w:rPr>
        <w:t xml:space="preserve"> ein Mensch</w:t>
      </w:r>
      <w:r w:rsidR="005A3D63">
        <w:rPr>
          <w:lang w:val="de-DE"/>
        </w:rPr>
        <w:t xml:space="preserve">, der keine Gewalt über sich hat, den viele Lüste beherrschen und der ihnen unterworfen ist, kein gutes Leben führen könne.“ (16) </w:t>
      </w:r>
    </w:p>
    <w:p w:rsidR="005A3D63" w:rsidRDefault="005A3D63">
      <w:pPr>
        <w:rPr>
          <w:lang w:val="de-DE"/>
        </w:rPr>
      </w:pPr>
      <w:r>
        <w:rPr>
          <w:lang w:val="de-DE"/>
        </w:rPr>
        <w:t xml:space="preserve">„Alles das kommt daher, weil die Leute sich einbilden, </w:t>
      </w:r>
      <w:proofErr w:type="spellStart"/>
      <w:r>
        <w:rPr>
          <w:lang w:val="de-DE"/>
        </w:rPr>
        <w:t>daß</w:t>
      </w:r>
      <w:proofErr w:type="spellEnd"/>
      <w:r>
        <w:rPr>
          <w:lang w:val="de-DE"/>
        </w:rPr>
        <w:t xml:space="preserve"> man ein gutes Leben führen könne, ohne sich die, der Ordnung nach, erste Eigenschaft, die zu einem guten Leben </w:t>
      </w:r>
      <w:proofErr w:type="spellStart"/>
      <w:r>
        <w:rPr>
          <w:lang w:val="de-DE"/>
        </w:rPr>
        <w:t>nothwendig</w:t>
      </w:r>
      <w:proofErr w:type="spellEnd"/>
      <w:r>
        <w:rPr>
          <w:lang w:val="de-DE"/>
        </w:rPr>
        <w:t xml:space="preserve"> ist, anzueignen.</w:t>
      </w:r>
    </w:p>
    <w:p w:rsidR="005A3D63" w:rsidRDefault="005A3D63">
      <w:pPr>
        <w:rPr>
          <w:lang w:val="de-DE"/>
        </w:rPr>
      </w:pPr>
      <w:r>
        <w:rPr>
          <w:lang w:val="de-DE"/>
        </w:rPr>
        <w:t>Diese erste Eigenschaft ist die Enthaltsamkeit.“ (37)</w:t>
      </w:r>
    </w:p>
    <w:p w:rsidR="00B939B0" w:rsidRDefault="005A3D63">
      <w:pPr>
        <w:rPr>
          <w:lang w:val="de-DE"/>
        </w:rPr>
      </w:pPr>
      <w:r>
        <w:rPr>
          <w:lang w:val="de-DE"/>
        </w:rPr>
        <w:t xml:space="preserve">„Ein gutes Leben gab es nie und </w:t>
      </w:r>
      <w:proofErr w:type="spellStart"/>
      <w:r>
        <w:rPr>
          <w:lang w:val="de-DE"/>
        </w:rPr>
        <w:t>giebt</w:t>
      </w:r>
      <w:proofErr w:type="spellEnd"/>
      <w:r>
        <w:rPr>
          <w:lang w:val="de-DE"/>
        </w:rPr>
        <w:t xml:space="preserve"> es nicht ohne Enthaltsamkeit. Es ist nicht denkbar, </w:t>
      </w:r>
      <w:proofErr w:type="spellStart"/>
      <w:r>
        <w:rPr>
          <w:lang w:val="de-DE"/>
        </w:rPr>
        <w:t>daß</w:t>
      </w:r>
      <w:proofErr w:type="spellEnd"/>
      <w:r>
        <w:rPr>
          <w:lang w:val="de-DE"/>
        </w:rPr>
        <w:t xml:space="preserve"> man ein gutes Leben führen kann, ohne enthaltsam zu sein. Jedes Streben nach einem guten Leben </w:t>
      </w:r>
      <w:proofErr w:type="spellStart"/>
      <w:r>
        <w:rPr>
          <w:lang w:val="de-DE"/>
        </w:rPr>
        <w:t>muß</w:t>
      </w:r>
      <w:proofErr w:type="spellEnd"/>
      <w:r>
        <w:rPr>
          <w:lang w:val="de-DE"/>
        </w:rPr>
        <w:t xml:space="preserve"> damit beginnen.</w:t>
      </w:r>
    </w:p>
    <w:p w:rsidR="005A3D63" w:rsidRDefault="00B939B0">
      <w:pPr>
        <w:rPr>
          <w:lang w:val="de-DE"/>
        </w:rPr>
      </w:pPr>
      <w:r>
        <w:rPr>
          <w:lang w:val="de-DE"/>
        </w:rPr>
        <w:t xml:space="preserve">Es </w:t>
      </w:r>
      <w:proofErr w:type="spellStart"/>
      <w:r>
        <w:rPr>
          <w:lang w:val="de-DE"/>
        </w:rPr>
        <w:t>giebt</w:t>
      </w:r>
      <w:proofErr w:type="spellEnd"/>
      <w:r>
        <w:rPr>
          <w:lang w:val="de-DE"/>
        </w:rPr>
        <w:t xml:space="preserve"> eine Stufenleiter der Tugenden, und bei der ersten Stufe </w:t>
      </w:r>
      <w:proofErr w:type="spellStart"/>
      <w:r>
        <w:rPr>
          <w:lang w:val="de-DE"/>
        </w:rPr>
        <w:t>muß</w:t>
      </w:r>
      <w:proofErr w:type="spellEnd"/>
      <w:r>
        <w:rPr>
          <w:lang w:val="de-DE"/>
        </w:rPr>
        <w:t xml:space="preserve"> man anfangen, um die folgenden erreichen zu können; die erste Tugend, die sich der Mensch aneignen </w:t>
      </w:r>
      <w:proofErr w:type="spellStart"/>
      <w:r>
        <w:rPr>
          <w:lang w:val="de-DE"/>
        </w:rPr>
        <w:t>muß</w:t>
      </w:r>
      <w:proofErr w:type="spellEnd"/>
      <w:r>
        <w:rPr>
          <w:lang w:val="de-DE"/>
        </w:rPr>
        <w:t>, wenn er zu den folgenden gelangen will, ist aber das, was die Alten [</w:t>
      </w:r>
      <w:proofErr w:type="spellStart"/>
      <w:r>
        <w:rPr>
          <w:lang w:val="de-DE"/>
        </w:rPr>
        <w:t>enkrateia</w:t>
      </w:r>
      <w:proofErr w:type="spellEnd"/>
      <w:r>
        <w:rPr>
          <w:lang w:val="de-DE"/>
        </w:rPr>
        <w:t>] oder […], d.h. Enthaltsamkeit, Besonnenheit, Selbstbeherrschung nannten.</w:t>
      </w:r>
      <w:bookmarkStart w:id="0" w:name="_GoBack"/>
      <w:bookmarkEnd w:id="0"/>
      <w:r w:rsidR="005A3D63">
        <w:rPr>
          <w:lang w:val="de-DE"/>
        </w:rPr>
        <w:t xml:space="preserve">“ (37) </w:t>
      </w:r>
    </w:p>
    <w:p w:rsidR="00B939B0" w:rsidRPr="009F0AE4" w:rsidRDefault="00B939B0">
      <w:pPr>
        <w:rPr>
          <w:lang w:val="de-DE"/>
        </w:rPr>
      </w:pPr>
    </w:p>
    <w:sectPr w:rsidR="00B939B0" w:rsidRPr="009F0AE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E4"/>
    <w:rsid w:val="001231ED"/>
    <w:rsid w:val="00395CDE"/>
    <w:rsid w:val="003D433A"/>
    <w:rsid w:val="0055526E"/>
    <w:rsid w:val="005A3D63"/>
    <w:rsid w:val="00635244"/>
    <w:rsid w:val="006E0AF6"/>
    <w:rsid w:val="009F0AE4"/>
    <w:rsid w:val="00B939B0"/>
    <w:rsid w:val="00E65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3C3B274-8A78-654B-881B-BB9F18CC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2019-06-06T10:02:00Z</dcterms:created>
  <dcterms:modified xsi:type="dcterms:W3CDTF">2019-06-06T10:35:00Z</dcterms:modified>
</cp:coreProperties>
</file>