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7E5F35" w:rsidRDefault="007E5F35">
      <w:pPr>
        <w:rPr>
          <w:b/>
          <w:lang w:val="de-DE"/>
        </w:rPr>
      </w:pPr>
      <w:bookmarkStart w:id="0" w:name="_GoBack"/>
      <w:r w:rsidRPr="007E5F35">
        <w:rPr>
          <w:b/>
          <w:lang w:val="de-DE"/>
        </w:rPr>
        <w:t>[</w:t>
      </w:r>
      <w:proofErr w:type="spellStart"/>
      <w:r w:rsidRPr="007E5F35">
        <w:rPr>
          <w:b/>
          <w:lang w:val="de-DE"/>
        </w:rPr>
        <w:t>metanoeo</w:t>
      </w:r>
      <w:proofErr w:type="spellEnd"/>
      <w:r w:rsidRPr="007E5F35">
        <w:rPr>
          <w:b/>
          <w:lang w:val="de-DE"/>
        </w:rPr>
        <w:t xml:space="preserve">, </w:t>
      </w:r>
      <w:proofErr w:type="spellStart"/>
      <w:r w:rsidRPr="007E5F35">
        <w:rPr>
          <w:b/>
          <w:lang w:val="de-DE"/>
        </w:rPr>
        <w:t>metanoia</w:t>
      </w:r>
      <w:proofErr w:type="spellEnd"/>
      <w:r w:rsidRPr="007E5F35">
        <w:rPr>
          <w:b/>
          <w:lang w:val="de-DE"/>
        </w:rPr>
        <w:t>]</w:t>
      </w:r>
      <w:r w:rsidRPr="007E5F35">
        <w:rPr>
          <w:b/>
          <w:lang w:val="de-DE"/>
        </w:rPr>
        <w:t xml:space="preserve">. In: Theologisches Wörterbuch zum Neuen Testament. Herausgegeben von Gerhard Kittel. Vierter Band. Stuttgart: Kohlhammer, 1942. </w:t>
      </w:r>
    </w:p>
    <w:bookmarkEnd w:id="0"/>
    <w:p w:rsidR="001D43BD" w:rsidRDefault="001D43BD">
      <w:pPr>
        <w:rPr>
          <w:lang w:val="de-DE"/>
        </w:rPr>
      </w:pPr>
    </w:p>
    <w:p w:rsidR="001D43BD" w:rsidRDefault="003C099A">
      <w:pPr>
        <w:rPr>
          <w:lang w:val="de-DE"/>
        </w:rPr>
      </w:pPr>
      <w:r>
        <w:rPr>
          <w:lang w:val="de-DE"/>
        </w:rPr>
        <w:t xml:space="preserve">Behm: </w:t>
      </w:r>
      <w:r w:rsidR="001D43BD">
        <w:rPr>
          <w:lang w:val="de-DE"/>
        </w:rPr>
        <w:t>Der griechische Sprachgebrauch:</w:t>
      </w:r>
    </w:p>
    <w:p w:rsidR="003C099A" w:rsidRDefault="003C099A">
      <w:pPr>
        <w:rPr>
          <w:lang w:val="de-DE"/>
        </w:rPr>
      </w:pPr>
    </w:p>
    <w:p w:rsidR="001D43BD" w:rsidRDefault="001D43BD">
      <w:pPr>
        <w:rPr>
          <w:lang w:val="de-DE"/>
        </w:rPr>
      </w:pPr>
      <w:r>
        <w:rPr>
          <w:lang w:val="de-DE"/>
        </w:rPr>
        <w:t>[</w:t>
      </w:r>
      <w:proofErr w:type="spellStart"/>
      <w:r>
        <w:rPr>
          <w:lang w:val="de-DE"/>
        </w:rPr>
        <w:t>metanoeo</w:t>
      </w:r>
      <w:proofErr w:type="spellEnd"/>
      <w:r>
        <w:rPr>
          <w:lang w:val="de-DE"/>
        </w:rPr>
        <w:t>]</w:t>
      </w:r>
      <w:r>
        <w:rPr>
          <w:lang w:val="de-DE"/>
        </w:rPr>
        <w:t>:</w:t>
      </w:r>
    </w:p>
    <w:p w:rsidR="001D43BD" w:rsidRDefault="001D43BD">
      <w:pPr>
        <w:rPr>
          <w:lang w:val="de-DE"/>
        </w:rPr>
      </w:pPr>
      <w:r>
        <w:rPr>
          <w:lang w:val="de-DE"/>
        </w:rPr>
        <w:t xml:space="preserve">„1. </w:t>
      </w:r>
      <w:r w:rsidRPr="001D43BD">
        <w:rPr>
          <w:i/>
          <w:lang w:val="de-DE"/>
        </w:rPr>
        <w:t>hintendrein bemerken, nachher erkennen</w:t>
      </w:r>
      <w:r>
        <w:rPr>
          <w:lang w:val="de-DE"/>
        </w:rPr>
        <w:t>“ (973)</w:t>
      </w:r>
    </w:p>
    <w:p w:rsidR="001D43BD" w:rsidRDefault="001D43BD">
      <w:pPr>
        <w:rPr>
          <w:lang w:val="de-DE"/>
        </w:rPr>
      </w:pPr>
      <w:r>
        <w:rPr>
          <w:lang w:val="de-DE"/>
        </w:rPr>
        <w:t xml:space="preserve">„2. </w:t>
      </w:r>
      <w:r w:rsidRPr="001D43BD">
        <w:rPr>
          <w:i/>
          <w:lang w:val="de-DE"/>
        </w:rPr>
        <w:t>seinen Sinn</w:t>
      </w:r>
      <w:r>
        <w:rPr>
          <w:lang w:val="de-DE"/>
        </w:rPr>
        <w:t xml:space="preserve"> [</w:t>
      </w:r>
      <w:proofErr w:type="spellStart"/>
      <w:r>
        <w:rPr>
          <w:lang w:val="de-DE"/>
        </w:rPr>
        <w:t>nous</w:t>
      </w:r>
      <w:proofErr w:type="spellEnd"/>
      <w:r>
        <w:rPr>
          <w:lang w:val="de-DE"/>
        </w:rPr>
        <w:t xml:space="preserve">] </w:t>
      </w:r>
      <w:r w:rsidRPr="001D43BD">
        <w:rPr>
          <w:i/>
          <w:lang w:val="de-DE"/>
        </w:rPr>
        <w:t>ändern</w:t>
      </w:r>
      <w:r>
        <w:rPr>
          <w:lang w:val="de-DE"/>
        </w:rPr>
        <w:t>, was bei der Weite des Begriffes [</w:t>
      </w:r>
      <w:proofErr w:type="spellStart"/>
      <w:r>
        <w:rPr>
          <w:lang w:val="de-DE"/>
        </w:rPr>
        <w:t>nous</w:t>
      </w:r>
      <w:proofErr w:type="spellEnd"/>
      <w:r>
        <w:rPr>
          <w:lang w:val="de-DE"/>
        </w:rPr>
        <w:t xml:space="preserve">] heißen kann </w:t>
      </w:r>
      <w:r w:rsidRPr="001D43BD">
        <w:rPr>
          <w:i/>
          <w:lang w:val="de-DE"/>
        </w:rPr>
        <w:t>eine andere Gesinnung annehmen, seine Gefühle ändern</w:t>
      </w:r>
      <w:r>
        <w:rPr>
          <w:lang w:val="de-DE"/>
        </w:rPr>
        <w:t xml:space="preserve"> […] </w:t>
      </w:r>
      <w:r w:rsidRPr="001D43BD">
        <w:rPr>
          <w:i/>
          <w:lang w:val="de-DE"/>
        </w:rPr>
        <w:t xml:space="preserve">seinen </w:t>
      </w:r>
      <w:proofErr w:type="spellStart"/>
      <w:r w:rsidRPr="001D43BD">
        <w:rPr>
          <w:i/>
          <w:lang w:val="de-DE"/>
        </w:rPr>
        <w:t>Entschluß</w:t>
      </w:r>
      <w:proofErr w:type="spellEnd"/>
      <w:r w:rsidRPr="001D43BD">
        <w:rPr>
          <w:i/>
          <w:lang w:val="de-DE"/>
        </w:rPr>
        <w:t>, seine Absicht ändern</w:t>
      </w:r>
      <w:r>
        <w:rPr>
          <w:lang w:val="de-DE"/>
        </w:rPr>
        <w:t xml:space="preserve"> […] </w:t>
      </w:r>
      <w:r w:rsidRPr="001D43BD">
        <w:rPr>
          <w:i/>
          <w:lang w:val="de-DE"/>
        </w:rPr>
        <w:t>eine andere Meinung fassen, seine Ansicht ändern</w:t>
      </w:r>
      <w:r>
        <w:rPr>
          <w:lang w:val="de-DE"/>
        </w:rPr>
        <w:t>“ (973)</w:t>
      </w:r>
    </w:p>
    <w:p w:rsidR="001D43BD" w:rsidRDefault="001D43BD">
      <w:pPr>
        <w:rPr>
          <w:lang w:val="de-DE"/>
        </w:rPr>
      </w:pPr>
      <w:r>
        <w:rPr>
          <w:lang w:val="de-DE"/>
        </w:rPr>
        <w:t xml:space="preserve">„Aus der </w:t>
      </w:r>
      <w:proofErr w:type="spellStart"/>
      <w:r>
        <w:rPr>
          <w:lang w:val="de-DE"/>
        </w:rPr>
        <w:t>Bdtg</w:t>
      </w:r>
      <w:proofErr w:type="spellEnd"/>
      <w:r>
        <w:rPr>
          <w:lang w:val="de-DE"/>
        </w:rPr>
        <w:t xml:space="preserve">. 2. ergibt sich, wenn das </w:t>
      </w:r>
      <w:r w:rsidRPr="001D43BD">
        <w:rPr>
          <w:i/>
          <w:lang w:val="de-DE"/>
        </w:rPr>
        <w:t>anderen Sinnes werden</w:t>
      </w:r>
      <w:r>
        <w:rPr>
          <w:lang w:val="de-DE"/>
        </w:rPr>
        <w:t xml:space="preserve"> entspringt aus der Einsicht,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die bisherige Sinnesrichtung töricht, ungehörig oder schlecht war, 3. die </w:t>
      </w:r>
      <w:proofErr w:type="spellStart"/>
      <w:r>
        <w:rPr>
          <w:lang w:val="de-DE"/>
        </w:rPr>
        <w:t>Bdtg</w:t>
      </w:r>
      <w:proofErr w:type="spellEnd"/>
      <w:r>
        <w:rPr>
          <w:lang w:val="de-DE"/>
        </w:rPr>
        <w:t xml:space="preserve">. </w:t>
      </w:r>
      <w:r w:rsidRPr="001D43BD">
        <w:rPr>
          <w:i/>
          <w:lang w:val="de-DE"/>
        </w:rPr>
        <w:t>bedauern, Reue empfinden, bereuen</w:t>
      </w:r>
      <w:r>
        <w:rPr>
          <w:lang w:val="de-DE"/>
        </w:rPr>
        <w:t xml:space="preserve">“ </w:t>
      </w:r>
    </w:p>
    <w:p w:rsidR="001D43BD" w:rsidRDefault="001D43BD">
      <w:pPr>
        <w:rPr>
          <w:lang w:val="de-DE"/>
        </w:rPr>
      </w:pPr>
    </w:p>
    <w:p w:rsidR="001D43BD" w:rsidRDefault="001D43BD" w:rsidP="001D43BD">
      <w:pPr>
        <w:rPr>
          <w:lang w:val="de-DE"/>
        </w:rPr>
      </w:pPr>
      <w:r>
        <w:rPr>
          <w:lang w:val="de-DE"/>
        </w:rPr>
        <w:t>[</w:t>
      </w:r>
      <w:proofErr w:type="spellStart"/>
      <w:r>
        <w:rPr>
          <w:lang w:val="de-DE"/>
        </w:rPr>
        <w:t>metanoia</w:t>
      </w:r>
      <w:proofErr w:type="spellEnd"/>
      <w:r>
        <w:rPr>
          <w:lang w:val="de-DE"/>
        </w:rPr>
        <w:t>]</w:t>
      </w:r>
      <w:r>
        <w:rPr>
          <w:lang w:val="de-DE"/>
        </w:rPr>
        <w:t>:</w:t>
      </w:r>
    </w:p>
    <w:p w:rsidR="001D43BD" w:rsidRDefault="001D43BD" w:rsidP="001D43BD">
      <w:pPr>
        <w:rPr>
          <w:lang w:val="de-DE"/>
        </w:rPr>
      </w:pPr>
      <w:r>
        <w:rPr>
          <w:lang w:val="de-DE"/>
        </w:rPr>
        <w:t xml:space="preserve">„1. </w:t>
      </w:r>
      <w:r w:rsidRPr="001D43BD">
        <w:rPr>
          <w:i/>
          <w:lang w:val="de-DE"/>
        </w:rPr>
        <w:t>Sinnesänderung</w:t>
      </w:r>
      <w:r>
        <w:rPr>
          <w:lang w:val="de-DE"/>
        </w:rPr>
        <w:t>“ (974)</w:t>
      </w:r>
    </w:p>
    <w:p w:rsidR="001D43BD" w:rsidRDefault="001D43BD" w:rsidP="001D43BD">
      <w:pPr>
        <w:rPr>
          <w:lang w:val="de-DE"/>
        </w:rPr>
      </w:pPr>
      <w:r>
        <w:rPr>
          <w:lang w:val="de-DE"/>
        </w:rPr>
        <w:t xml:space="preserve">„2. </w:t>
      </w:r>
      <w:r w:rsidRPr="001D43BD">
        <w:rPr>
          <w:i/>
          <w:lang w:val="de-DE"/>
        </w:rPr>
        <w:t>Bedauern, Reue</w:t>
      </w:r>
      <w:r>
        <w:rPr>
          <w:lang w:val="de-DE"/>
        </w:rPr>
        <w:t xml:space="preserve">“ (974) </w:t>
      </w:r>
    </w:p>
    <w:p w:rsidR="001D43BD" w:rsidRDefault="001D43BD">
      <w:pPr>
        <w:rPr>
          <w:lang w:val="de-DE"/>
        </w:rPr>
      </w:pPr>
    </w:p>
    <w:p w:rsidR="003C099A" w:rsidRDefault="003C099A">
      <w:pPr>
        <w:rPr>
          <w:lang w:val="de-DE"/>
        </w:rPr>
      </w:pPr>
      <w:r>
        <w:rPr>
          <w:lang w:val="de-DE"/>
        </w:rPr>
        <w:t>„An eine Änderung der ganzen sittlichen Haltung, einen durchgreifenden Wandel der Lebensrichtung, eine Umkehr, die das Gesamtverhalten fortan bestimmt, denkt das Griechentum bei [</w:t>
      </w:r>
      <w:proofErr w:type="spellStart"/>
      <w:r>
        <w:rPr>
          <w:lang w:val="de-DE"/>
        </w:rPr>
        <w:t>metanoia</w:t>
      </w:r>
      <w:proofErr w:type="spellEnd"/>
      <w:r>
        <w:rPr>
          <w:lang w:val="de-DE"/>
        </w:rPr>
        <w:t>] [976] nicht.“ (974-975)</w:t>
      </w:r>
    </w:p>
    <w:p w:rsidR="003C099A" w:rsidRDefault="003C099A">
      <w:pPr>
        <w:rPr>
          <w:lang w:val="de-DE"/>
        </w:rPr>
      </w:pPr>
    </w:p>
    <w:p w:rsidR="003C099A" w:rsidRDefault="003C099A">
      <w:pPr>
        <w:rPr>
          <w:lang w:val="de-DE"/>
        </w:rPr>
      </w:pPr>
      <w:r>
        <w:rPr>
          <w:lang w:val="de-DE"/>
        </w:rPr>
        <w:t>Im Neuen Testament:</w:t>
      </w:r>
    </w:p>
    <w:p w:rsidR="003C099A" w:rsidRDefault="003C099A">
      <w:pPr>
        <w:rPr>
          <w:lang w:val="de-DE"/>
        </w:rPr>
      </w:pPr>
      <w:r>
        <w:rPr>
          <w:lang w:val="de-DE"/>
        </w:rPr>
        <w:t>„Je nachdem der Ruf [</w:t>
      </w:r>
      <w:proofErr w:type="spellStart"/>
      <w:r>
        <w:rPr>
          <w:lang w:val="de-DE"/>
        </w:rPr>
        <w:t>metanoiete</w:t>
      </w:r>
      <w:proofErr w:type="spellEnd"/>
      <w:r>
        <w:rPr>
          <w:lang w:val="de-DE"/>
        </w:rPr>
        <w:t xml:space="preserve">], mit dem Jesus, dem Täufer folgend, aufgetreten ist, gedeutet wird – ob als Appell an das Gefühlsleben: </w:t>
      </w:r>
      <w:r w:rsidRPr="00B012E2">
        <w:rPr>
          <w:i/>
          <w:lang w:val="de-DE"/>
        </w:rPr>
        <w:t>empfindet Reue</w:t>
      </w:r>
      <w:r>
        <w:rPr>
          <w:lang w:val="de-DE"/>
        </w:rPr>
        <w:t xml:space="preserve">, als Aufrüttelung des ganzen </w:t>
      </w:r>
      <w:proofErr w:type="spellStart"/>
      <w:r>
        <w:rPr>
          <w:lang w:val="de-DE"/>
        </w:rPr>
        <w:t>Bewußtseins</w:t>
      </w:r>
      <w:proofErr w:type="spellEnd"/>
      <w:r>
        <w:rPr>
          <w:lang w:val="de-DE"/>
        </w:rPr>
        <w:t xml:space="preserve">: </w:t>
      </w:r>
      <w:r w:rsidRPr="00B012E2">
        <w:rPr>
          <w:i/>
          <w:lang w:val="de-DE"/>
        </w:rPr>
        <w:t>ändert euren Sinn</w:t>
      </w:r>
      <w:r>
        <w:rPr>
          <w:lang w:val="de-DE"/>
        </w:rPr>
        <w:t xml:space="preserve">, als Aufforderung zu Taten, durch die </w:t>
      </w:r>
      <w:proofErr w:type="spellStart"/>
      <w:r>
        <w:rPr>
          <w:lang w:val="de-DE"/>
        </w:rPr>
        <w:t>be</w:t>
      </w:r>
      <w:proofErr w:type="spellEnd"/>
      <w:r>
        <w:rPr>
          <w:lang w:val="de-DE"/>
        </w:rPr>
        <w:t>-[995]</w:t>
      </w:r>
      <w:proofErr w:type="spellStart"/>
      <w:r>
        <w:rPr>
          <w:lang w:val="de-DE"/>
        </w:rPr>
        <w:t>gangenes</w:t>
      </w:r>
      <w:proofErr w:type="spellEnd"/>
      <w:r>
        <w:rPr>
          <w:lang w:val="de-DE"/>
        </w:rPr>
        <w:t xml:space="preserve"> Unrecht wiedergutgemacht werden soll: </w:t>
      </w:r>
      <w:r w:rsidRPr="00B012E2">
        <w:rPr>
          <w:i/>
          <w:lang w:val="de-DE"/>
        </w:rPr>
        <w:t>tut Buße</w:t>
      </w:r>
      <w:r>
        <w:rPr>
          <w:lang w:val="de-DE"/>
        </w:rPr>
        <w:t xml:space="preserve"> oder als Aufruf zu einer radikalen Wandlung des Verhältnisses Gott-Mensch und Mensch-Gott: </w:t>
      </w:r>
      <w:r w:rsidRPr="00B012E2">
        <w:rPr>
          <w:i/>
          <w:lang w:val="de-DE"/>
        </w:rPr>
        <w:t>kehrt um, bekehrt euch</w:t>
      </w:r>
      <w:r>
        <w:rPr>
          <w:lang w:val="de-DE"/>
        </w:rPr>
        <w:t xml:space="preserve"> –, ergibt sich ein von Grund auf verschiedenes Verständnis der Botschaft Jesu.“ (994-995) </w:t>
      </w:r>
    </w:p>
    <w:p w:rsidR="007E5F35" w:rsidRDefault="007E5F35">
      <w:pPr>
        <w:rPr>
          <w:lang w:val="de-DE"/>
        </w:rPr>
      </w:pPr>
    </w:p>
    <w:p w:rsidR="007E5F35" w:rsidRDefault="007E5F35">
      <w:pPr>
        <w:rPr>
          <w:lang w:val="de-DE"/>
        </w:rPr>
      </w:pPr>
      <w:r>
        <w:rPr>
          <w:lang w:val="de-DE"/>
        </w:rPr>
        <w:t>Johannes der Täufer:</w:t>
      </w:r>
    </w:p>
    <w:p w:rsidR="007E5F35" w:rsidRDefault="007E5F35">
      <w:pPr>
        <w:rPr>
          <w:lang w:val="de-DE"/>
        </w:rPr>
      </w:pPr>
      <w:r>
        <w:rPr>
          <w:lang w:val="de-DE"/>
        </w:rPr>
        <w:t xml:space="preserve">„Umkehr war der Grundton der Botschaft des Täufers“ (995) </w:t>
      </w:r>
    </w:p>
    <w:p w:rsidR="007E5F35" w:rsidRDefault="007E5F35">
      <w:pPr>
        <w:rPr>
          <w:lang w:val="de-DE"/>
        </w:rPr>
      </w:pPr>
      <w:r>
        <w:rPr>
          <w:lang w:val="de-DE"/>
        </w:rPr>
        <w:t xml:space="preserve">„Wandlung des Wesens von innen heraus; Bewährung der Wandlung in der Ganzheit eines entsprechenden Lebens“ (996) </w:t>
      </w:r>
    </w:p>
    <w:p w:rsidR="007E5F35" w:rsidRDefault="007E5F35">
      <w:pPr>
        <w:rPr>
          <w:lang w:val="de-DE"/>
        </w:rPr>
      </w:pPr>
      <w:r>
        <w:rPr>
          <w:lang w:val="de-DE"/>
        </w:rPr>
        <w:t>„Die [</w:t>
      </w:r>
      <w:proofErr w:type="spellStart"/>
      <w:r>
        <w:rPr>
          <w:lang w:val="de-DE"/>
        </w:rPr>
        <w:t>metanoia</w:t>
      </w:r>
      <w:proofErr w:type="spellEnd"/>
      <w:r>
        <w:rPr>
          <w:lang w:val="de-DE"/>
        </w:rPr>
        <w:t xml:space="preserve">] ist beides, Gabe Gottes und Aufgabe des Menschen.“ (996) </w:t>
      </w:r>
    </w:p>
    <w:p w:rsidR="007E5F35" w:rsidRDefault="007E5F35">
      <w:pPr>
        <w:rPr>
          <w:lang w:val="de-DE"/>
        </w:rPr>
      </w:pPr>
    </w:p>
    <w:p w:rsidR="007E5F35" w:rsidRDefault="007E5F35">
      <w:pPr>
        <w:rPr>
          <w:lang w:val="de-DE"/>
        </w:rPr>
      </w:pPr>
      <w:r>
        <w:rPr>
          <w:lang w:val="de-DE"/>
        </w:rPr>
        <w:t xml:space="preserve">Jesus: </w:t>
      </w:r>
    </w:p>
    <w:p w:rsidR="007E5F35" w:rsidRDefault="007E5F35">
      <w:pPr>
        <w:rPr>
          <w:lang w:val="de-DE"/>
        </w:rPr>
      </w:pPr>
      <w:r>
        <w:rPr>
          <w:lang w:val="de-DE"/>
        </w:rPr>
        <w:t xml:space="preserve">„Zur Umkehr zu rufen, ist der Zweck seiner Sendung“ (996) </w:t>
      </w:r>
    </w:p>
    <w:p w:rsidR="007E5F35" w:rsidRPr="001D43BD" w:rsidRDefault="007E5F35">
      <w:pPr>
        <w:rPr>
          <w:lang w:val="de-DE"/>
        </w:rPr>
      </w:pPr>
      <w:r>
        <w:rPr>
          <w:lang w:val="de-DE"/>
        </w:rPr>
        <w:t>„[</w:t>
      </w:r>
      <w:proofErr w:type="spellStart"/>
      <w:r>
        <w:rPr>
          <w:lang w:val="de-DE"/>
        </w:rPr>
        <w:t>metanoia</w:t>
      </w:r>
      <w:proofErr w:type="spellEnd"/>
      <w:r>
        <w:rPr>
          <w:lang w:val="de-DE"/>
        </w:rPr>
        <w:t xml:space="preserve">], bezogen auf den Gotteswillen, den er verkündigt, ist der Heilsweg, den Jesus weist. Es ist ein Weg, der wirklich gegangen werden </w:t>
      </w:r>
      <w:proofErr w:type="spellStart"/>
      <w:r>
        <w:rPr>
          <w:lang w:val="de-DE"/>
        </w:rPr>
        <w:t>muß</w:t>
      </w:r>
      <w:proofErr w:type="spellEnd"/>
      <w:r>
        <w:rPr>
          <w:lang w:val="de-DE"/>
        </w:rPr>
        <w:t xml:space="preserve">, nicht nur eine theoretische Wegbeschreibung“ (997) </w:t>
      </w:r>
    </w:p>
    <w:sectPr w:rsidR="007E5F35" w:rsidRPr="001D43BD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3BD"/>
    <w:rsid w:val="001231ED"/>
    <w:rsid w:val="001D43BD"/>
    <w:rsid w:val="00395CDE"/>
    <w:rsid w:val="003C099A"/>
    <w:rsid w:val="0055526E"/>
    <w:rsid w:val="00635244"/>
    <w:rsid w:val="006E0AF6"/>
    <w:rsid w:val="007E5F35"/>
    <w:rsid w:val="00B01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7B2E0"/>
  <w14:defaultImageDpi w14:val="32767"/>
  <w15:chartTrackingRefBased/>
  <w15:docId w15:val="{1F31283E-7EF0-B945-A0E1-A53FEB71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2019-06-13T14:16:00Z</dcterms:created>
  <dcterms:modified xsi:type="dcterms:W3CDTF">2019-06-13T14:45:00Z</dcterms:modified>
</cp:coreProperties>
</file>