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6FF72" w14:textId="4BD7EC47" w:rsidR="00D52BDA" w:rsidRPr="00D52BDA" w:rsidRDefault="00D52BDA">
      <w:pPr>
        <w:rPr>
          <w:b/>
          <w:lang w:val="de-DE"/>
        </w:rPr>
      </w:pPr>
      <w:r w:rsidRPr="00D52BDA">
        <w:rPr>
          <w:b/>
          <w:lang w:val="de-DE"/>
        </w:rPr>
        <w:t xml:space="preserve">Dieter </w:t>
      </w:r>
      <w:proofErr w:type="spellStart"/>
      <w:r w:rsidRPr="00D52BDA">
        <w:rPr>
          <w:b/>
          <w:lang w:val="de-DE"/>
        </w:rPr>
        <w:t>Sturma</w:t>
      </w:r>
      <w:proofErr w:type="spellEnd"/>
      <w:r w:rsidRPr="00D52BDA">
        <w:rPr>
          <w:b/>
          <w:lang w:val="de-DE"/>
        </w:rPr>
        <w:t xml:space="preserve">: </w:t>
      </w:r>
      <w:proofErr w:type="gramStart"/>
      <w:r w:rsidRPr="00D52BDA">
        <w:rPr>
          <w:b/>
          <w:lang w:val="de-DE"/>
        </w:rPr>
        <w:t>Jean Jacques</w:t>
      </w:r>
      <w:proofErr w:type="gramEnd"/>
      <w:r w:rsidRPr="00D52BDA">
        <w:rPr>
          <w:b/>
          <w:lang w:val="de-DE"/>
        </w:rPr>
        <w:t xml:space="preserve"> Rousseau. München: C.H. Beck, </w:t>
      </w:r>
      <w:r w:rsidR="00E91BA1">
        <w:rPr>
          <w:b/>
          <w:lang w:val="de-DE"/>
        </w:rPr>
        <w:t>2001.</w:t>
      </w:r>
      <w:bookmarkStart w:id="0" w:name="_GoBack"/>
      <w:bookmarkEnd w:id="0"/>
    </w:p>
    <w:p w14:paraId="70A287FC" w14:textId="77777777" w:rsidR="00D52BDA" w:rsidRDefault="00D52BDA">
      <w:pPr>
        <w:rPr>
          <w:lang w:val="de-DE"/>
        </w:rPr>
      </w:pPr>
    </w:p>
    <w:p w14:paraId="2647CB01" w14:textId="18A65D28" w:rsidR="006A41F3" w:rsidRPr="00D52BDA" w:rsidRDefault="00D52BDA">
      <w:pPr>
        <w:rPr>
          <w:lang w:val="de-DE"/>
        </w:rPr>
      </w:pPr>
      <w:r>
        <w:rPr>
          <w:lang w:val="de-DE"/>
        </w:rPr>
        <w:t xml:space="preserve">„Auch in seiner Spätphilosophie hält Rousseau daran fest, </w:t>
      </w:r>
      <w:proofErr w:type="spellStart"/>
      <w:r>
        <w:rPr>
          <w:lang w:val="de-DE"/>
        </w:rPr>
        <w:t>daß</w:t>
      </w:r>
      <w:proofErr w:type="spellEnd"/>
      <w:r>
        <w:rPr>
          <w:lang w:val="de-DE"/>
        </w:rPr>
        <w:t xml:space="preserve"> die ethische Ausgangssituation einer Person darin besteht, nicht darauf zu drängen, das zu tun, was sie gerade will, sondern zu verhindern, das zu tun, was sie nicht will. An diesen Sachverhalt erinnert er in den Träumereien des einsamen Spaziergängers: ‚Ich habe nie geglaubt, </w:t>
      </w:r>
      <w:proofErr w:type="spellStart"/>
      <w:r>
        <w:rPr>
          <w:lang w:val="de-DE"/>
        </w:rPr>
        <w:t>daß</w:t>
      </w:r>
      <w:proofErr w:type="spellEnd"/>
      <w:r>
        <w:rPr>
          <w:lang w:val="de-DE"/>
        </w:rPr>
        <w:t xml:space="preserve"> die Freiheit des Menschen darin bestehe, </w:t>
      </w:r>
      <w:proofErr w:type="spellStart"/>
      <w:r>
        <w:rPr>
          <w:lang w:val="de-DE"/>
        </w:rPr>
        <w:t>daß</w:t>
      </w:r>
      <w:proofErr w:type="spellEnd"/>
      <w:r>
        <w:rPr>
          <w:lang w:val="de-DE"/>
        </w:rPr>
        <w:t xml:space="preserve"> er tun könne, was er wolle, wohl aber darin, </w:t>
      </w:r>
      <w:proofErr w:type="spellStart"/>
      <w:r>
        <w:rPr>
          <w:lang w:val="de-DE"/>
        </w:rPr>
        <w:t>daß</w:t>
      </w:r>
      <w:proofErr w:type="spellEnd"/>
      <w:r>
        <w:rPr>
          <w:lang w:val="de-DE"/>
        </w:rPr>
        <w:t xml:space="preserve"> er nie tue, was er nicht wolle; und auf diese Freiheit erhob ich immer Anspruch, erhielt sie oft, und das machte mich in den Augen meiner Zeitgenossen am meisten zum Ärgernis.‘ (OC I 1059/W II 714). Weil für den, der sich selbst achtet, nicht jede Eigenschaft und Handlung hinnehmbar ist, zeichnen sich in der Perspektive der Selbstachtung ethische Erweiterungen ab, die soziale Tugenden </w:t>
      </w:r>
      <w:proofErr w:type="gramStart"/>
      <w:r>
        <w:rPr>
          <w:lang w:val="de-DE"/>
        </w:rPr>
        <w:t>mit einschließen</w:t>
      </w:r>
      <w:proofErr w:type="gramEnd"/>
      <w:r>
        <w:rPr>
          <w:lang w:val="de-DE"/>
        </w:rPr>
        <w:t>. Rousseau spricht sich ausdrücklich für die feste Etablierung von Tugenden in den alltäglichen Lebensvollzügen aus.“ (</w:t>
      </w:r>
      <w:r w:rsidR="00E91BA1">
        <w:rPr>
          <w:lang w:val="de-DE"/>
        </w:rPr>
        <w:t>183</w:t>
      </w:r>
      <w:r>
        <w:rPr>
          <w:lang w:val="de-DE"/>
        </w:rPr>
        <w:t>)</w:t>
      </w:r>
    </w:p>
    <w:sectPr w:rsidR="006A41F3" w:rsidRPr="00D52BD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BDA"/>
    <w:rsid w:val="001231ED"/>
    <w:rsid w:val="00395CDE"/>
    <w:rsid w:val="0055526E"/>
    <w:rsid w:val="00635244"/>
    <w:rsid w:val="006E0AF6"/>
    <w:rsid w:val="00D52BDA"/>
    <w:rsid w:val="00E91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5BD2F6"/>
  <w14:defaultImageDpi w14:val="32767"/>
  <w15:chartTrackingRefBased/>
  <w15:docId w15:val="{0F52CBBA-E7D3-1945-93C6-2256325E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153</Words>
  <Characters>878</Characters>
  <Application>Microsoft Office Word</Application>
  <DocSecurity>0</DocSecurity>
  <Lines>7</Lines>
  <Paragraphs>2</Paragraphs>
  <ScaleCrop>false</ScaleCrop>
  <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2021-06-20T11:50:00Z</dcterms:created>
  <dcterms:modified xsi:type="dcterms:W3CDTF">2021-06-20T12:00:00Z</dcterms:modified>
</cp:coreProperties>
</file>