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CD4541" w:rsidRDefault="00B75071">
      <w:pPr>
        <w:rPr>
          <w:b/>
          <w:lang w:val="en-CA"/>
        </w:rPr>
      </w:pPr>
      <w:bookmarkStart w:id="0" w:name="_GoBack"/>
      <w:r w:rsidRPr="00CD4541">
        <w:rPr>
          <w:b/>
          <w:lang w:val="de-DE"/>
        </w:rPr>
        <w:t xml:space="preserve">Alessandro </w:t>
      </w:r>
      <w:proofErr w:type="spellStart"/>
      <w:r w:rsidRPr="00CD4541">
        <w:rPr>
          <w:b/>
          <w:lang w:val="de-DE"/>
        </w:rPr>
        <w:t>Stavru</w:t>
      </w:r>
      <w:proofErr w:type="spellEnd"/>
      <w:r w:rsidRPr="00CD4541">
        <w:rPr>
          <w:b/>
          <w:lang w:val="de-DE"/>
        </w:rPr>
        <w:t>: Überwindung der Unbeherrschtheit. Selbstbeherrschung bei Sokrates und den Sokratikern</w:t>
      </w:r>
      <w:r w:rsidR="002105C1" w:rsidRPr="00CD4541">
        <w:rPr>
          <w:b/>
          <w:lang w:val="de-DE"/>
        </w:rPr>
        <w:t xml:space="preserve">. </w:t>
      </w:r>
      <w:r w:rsidR="002105C1" w:rsidRPr="00CD4541">
        <w:rPr>
          <w:b/>
          <w:lang w:val="en-CA"/>
        </w:rPr>
        <w:t xml:space="preserve">In: Tengiz </w:t>
      </w:r>
      <w:proofErr w:type="spellStart"/>
      <w:r w:rsidR="002105C1" w:rsidRPr="00CD4541">
        <w:rPr>
          <w:b/>
          <w:lang w:val="en-CA"/>
        </w:rPr>
        <w:t>Iremadze</w:t>
      </w:r>
      <w:proofErr w:type="spellEnd"/>
      <w:r w:rsidR="002105C1" w:rsidRPr="00CD4541">
        <w:rPr>
          <w:b/>
          <w:lang w:val="en-CA"/>
        </w:rPr>
        <w:t xml:space="preserve">, Udo Reinhold </w:t>
      </w:r>
      <w:proofErr w:type="spellStart"/>
      <w:r w:rsidR="002105C1" w:rsidRPr="00CD4541">
        <w:rPr>
          <w:b/>
          <w:lang w:val="en-CA"/>
        </w:rPr>
        <w:t>Jeck</w:t>
      </w:r>
      <w:proofErr w:type="spellEnd"/>
      <w:r w:rsidR="002105C1" w:rsidRPr="00CD4541">
        <w:rPr>
          <w:b/>
          <w:lang w:val="en-CA"/>
        </w:rPr>
        <w:t xml:space="preserve">: Veritas et </w:t>
      </w:r>
      <w:proofErr w:type="spellStart"/>
      <w:r w:rsidR="002105C1" w:rsidRPr="00CD4541">
        <w:rPr>
          <w:b/>
          <w:lang w:val="en-CA"/>
        </w:rPr>
        <w:t>subtilitas</w:t>
      </w:r>
      <w:proofErr w:type="spellEnd"/>
      <w:r w:rsidR="002105C1" w:rsidRPr="00CD4541">
        <w:rPr>
          <w:b/>
          <w:lang w:val="en-CA"/>
        </w:rPr>
        <w:t xml:space="preserve">. Truth and Subtlety in the History of Philosophy. </w:t>
      </w:r>
      <w:r w:rsidR="00CD4541" w:rsidRPr="00CD4541">
        <w:rPr>
          <w:b/>
          <w:lang w:val="en-CA"/>
        </w:rPr>
        <w:t xml:space="preserve">Amsterdam: John </w:t>
      </w:r>
      <w:proofErr w:type="spellStart"/>
      <w:r w:rsidR="00CD4541" w:rsidRPr="00CD4541">
        <w:rPr>
          <w:b/>
          <w:lang w:val="en-CA"/>
        </w:rPr>
        <w:t>Benjamins</w:t>
      </w:r>
      <w:proofErr w:type="spellEnd"/>
      <w:r w:rsidR="00CD4541" w:rsidRPr="00CD4541">
        <w:rPr>
          <w:b/>
          <w:lang w:val="en-CA"/>
        </w:rPr>
        <w:t xml:space="preserve"> Publishing, 2018</w:t>
      </w:r>
      <w:r w:rsidRPr="00CD4541">
        <w:rPr>
          <w:b/>
          <w:lang w:val="en-CA"/>
        </w:rPr>
        <w:t>, 1-</w:t>
      </w:r>
      <w:r w:rsidR="002105C1" w:rsidRPr="00CD4541">
        <w:rPr>
          <w:b/>
          <w:lang w:val="en-CA"/>
        </w:rPr>
        <w:t>23.</w:t>
      </w:r>
    </w:p>
    <w:bookmarkEnd w:id="0"/>
    <w:p w:rsidR="00B75071" w:rsidRPr="002105C1" w:rsidRDefault="00B75071">
      <w:pPr>
        <w:rPr>
          <w:lang w:val="en-CA"/>
        </w:rPr>
      </w:pPr>
    </w:p>
    <w:p w:rsidR="00B75071" w:rsidRDefault="00B75071">
      <w:pPr>
        <w:rPr>
          <w:lang w:val="de-DE"/>
        </w:rPr>
      </w:pPr>
      <w:r>
        <w:rPr>
          <w:lang w:val="de-DE"/>
        </w:rPr>
        <w:t xml:space="preserve">„Selbstbeherrschung ist keine Tugend für sich: Sie ist nur dann anzutreffen, wenn die konkrete Möglichkeit einer unbeherrschten Verhaltensweise vorhanden ist. Darum ist die Selbstbeherrschung auch immer eine Überwindung der Unbeherrschtheit: der Beherrschte ist nicht </w:t>
      </w:r>
      <w:r w:rsidRPr="00B75071">
        <w:rPr>
          <w:i/>
          <w:lang w:val="de-DE"/>
        </w:rPr>
        <w:t>per se</w:t>
      </w:r>
      <w:r>
        <w:rPr>
          <w:lang w:val="de-DE"/>
        </w:rPr>
        <w:t xml:space="preserve"> tugendhaft, sondern hat stets mit starken Leidenschaften zu kämpfen, über die seine beherrschten Handlungsabläufe kontrastiv definiert werden.“ (1) </w:t>
      </w:r>
    </w:p>
    <w:p w:rsidR="00CF71EE" w:rsidRDefault="00CF71EE">
      <w:pPr>
        <w:rPr>
          <w:lang w:val="de-DE"/>
        </w:rPr>
      </w:pPr>
      <w:r>
        <w:rPr>
          <w:lang w:val="de-DE"/>
        </w:rPr>
        <w:t xml:space="preserve">„Diese intellektualistische Tendenz setzt sich fort und radikalisiert sich in Platons Frühdialogen. Hier kommt der Begriff der </w:t>
      </w:r>
      <w:proofErr w:type="spellStart"/>
      <w:r w:rsidRPr="002105C1">
        <w:rPr>
          <w:i/>
          <w:lang w:val="de-DE"/>
        </w:rPr>
        <w:t>enkrateia</w:t>
      </w:r>
      <w:proofErr w:type="spellEnd"/>
      <w:r>
        <w:rPr>
          <w:lang w:val="de-DE"/>
        </w:rPr>
        <w:t xml:space="preserve"> so gut wie nicht vor, sogar dort, wo – wie</w:t>
      </w:r>
      <w:r w:rsidR="002105C1">
        <w:rPr>
          <w:lang w:val="de-DE"/>
        </w:rPr>
        <w:t xml:space="preserve"> im </w:t>
      </w:r>
      <w:proofErr w:type="spellStart"/>
      <w:r w:rsidR="002105C1" w:rsidRPr="002105C1">
        <w:rPr>
          <w:i/>
          <w:lang w:val="de-DE"/>
        </w:rPr>
        <w:t>Charmides</w:t>
      </w:r>
      <w:proofErr w:type="spellEnd"/>
      <w:r w:rsidR="002105C1">
        <w:rPr>
          <w:lang w:val="de-DE"/>
        </w:rPr>
        <w:t xml:space="preserve"> – explizit auf das Problem der ‚Besonnenheit‘ (</w:t>
      </w:r>
      <w:proofErr w:type="spellStart"/>
      <w:r w:rsidR="002105C1" w:rsidRPr="002105C1">
        <w:rPr>
          <w:i/>
          <w:lang w:val="de-DE"/>
        </w:rPr>
        <w:t>sophrosyne</w:t>
      </w:r>
      <w:proofErr w:type="spellEnd"/>
      <w:r w:rsidR="002105C1">
        <w:rPr>
          <w:lang w:val="de-DE"/>
        </w:rPr>
        <w:t xml:space="preserve">) eingegangen wird. Es ist beim jungen Platon eine bewusste Ausblendung der Leidenschaften aus dem Handlungsablauf zu beobachten, die einen [17] radikalen Intellektualismus mit sich bringt. Im </w:t>
      </w:r>
      <w:r w:rsidR="002105C1" w:rsidRPr="002105C1">
        <w:rPr>
          <w:i/>
          <w:lang w:val="de-DE"/>
        </w:rPr>
        <w:t>Protagoras</w:t>
      </w:r>
      <w:r w:rsidR="002105C1">
        <w:rPr>
          <w:lang w:val="de-DE"/>
        </w:rPr>
        <w:t xml:space="preserve"> erfahren wir, dass kein Mensch sich </w:t>
      </w:r>
      <w:r w:rsidR="002105C1" w:rsidRPr="002105C1">
        <w:rPr>
          <w:i/>
          <w:lang w:val="de-DE"/>
        </w:rPr>
        <w:t>freiwillig</w:t>
      </w:r>
      <w:r w:rsidR="002105C1">
        <w:rPr>
          <w:lang w:val="de-DE"/>
        </w:rPr>
        <w:t xml:space="preserve"> täuscht, bzw. Schändliches und Schlechtes tut. Vielmehr könne dies nur unfreiwillig, </w:t>
      </w:r>
      <w:r w:rsidR="002105C1" w:rsidRPr="002105C1">
        <w:rPr>
          <w:i/>
          <w:lang w:val="de-DE"/>
        </w:rPr>
        <w:t>d</w:t>
      </w:r>
      <w:proofErr w:type="spellStart"/>
      <w:r w:rsidR="002105C1" w:rsidRPr="002105C1">
        <w:rPr>
          <w:i/>
          <w:lang w:val="de-DE"/>
        </w:rPr>
        <w:t>.h</w:t>
      </w:r>
      <w:proofErr w:type="spellEnd"/>
      <w:r w:rsidR="002105C1" w:rsidRPr="002105C1">
        <w:rPr>
          <w:i/>
          <w:lang w:val="de-DE"/>
        </w:rPr>
        <w:t>. ohne es zu wollen</w:t>
      </w:r>
      <w:r w:rsidR="002105C1">
        <w:rPr>
          <w:lang w:val="de-DE"/>
        </w:rPr>
        <w:t xml:space="preserve">, getan werden. Damit verbunden ist ein Grundsatz, und zwar dass die Erkenntnis des Schlechten notwendigerweise dazu führen muss, sich davon fernzuhalten bzw. davon Abstand zu nehmen, selbst wenn das Motiv der </w:t>
      </w:r>
      <w:proofErr w:type="spellStart"/>
      <w:r w:rsidR="002105C1" w:rsidRPr="002105C1">
        <w:rPr>
          <w:i/>
          <w:lang w:val="de-DE"/>
        </w:rPr>
        <w:t>hedone</w:t>
      </w:r>
      <w:proofErr w:type="spellEnd"/>
      <w:r w:rsidR="002105C1">
        <w:rPr>
          <w:lang w:val="de-DE"/>
        </w:rPr>
        <w:t xml:space="preserve"> im Handlungsablauf involviert ist. Es stellt sich nämlich heraus, dass eine korrekt verstandene Freude im Grunde nichts anderes als das Gute ist, und dass dieses, sobald es als solches erkannt wird, auch [18] zwangsläufig gewählt wird. Unbeherrschtheit ist identisch mit Unwissen, Selbstbeherrschung mit Wissen. Tugend ist also Wissen, wie eindringlich am Beispiel der Tapferkeit gezeigt wird.“ (16-18)</w:t>
      </w:r>
    </w:p>
    <w:p w:rsidR="002105C1" w:rsidRPr="00B75071" w:rsidRDefault="002105C1">
      <w:pPr>
        <w:rPr>
          <w:lang w:val="de-DE"/>
        </w:rPr>
      </w:pPr>
      <w:r>
        <w:rPr>
          <w:lang w:val="de-DE"/>
        </w:rPr>
        <w:t xml:space="preserve">„und in der mittleren Phase seiner [Platons; F.E.] Schaffenszeit zu einer Revision seines Intellektualismus kommt, die der </w:t>
      </w:r>
      <w:proofErr w:type="spellStart"/>
      <w:r w:rsidRPr="002105C1">
        <w:rPr>
          <w:i/>
          <w:lang w:val="de-DE"/>
        </w:rPr>
        <w:t>enkrateia</w:t>
      </w:r>
      <w:proofErr w:type="spellEnd"/>
      <w:r>
        <w:rPr>
          <w:lang w:val="de-DE"/>
        </w:rPr>
        <w:t xml:space="preserve"> einen größeren Spielraum gewährt als in seinen Frühdialogen.“ (21) </w:t>
      </w:r>
    </w:p>
    <w:sectPr w:rsidR="002105C1" w:rsidRPr="00B75071"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5071"/>
    <w:rsid w:val="001231ED"/>
    <w:rsid w:val="002105C1"/>
    <w:rsid w:val="00395CDE"/>
    <w:rsid w:val="0055526E"/>
    <w:rsid w:val="00635244"/>
    <w:rsid w:val="006E0AF6"/>
    <w:rsid w:val="00B75071"/>
    <w:rsid w:val="00CD4541"/>
    <w:rsid w:val="00CF71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E40656A1-B364-384A-AD90-5C68C8C9D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316</Words>
  <Characters>1806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2</cp:revision>
  <dcterms:created xsi:type="dcterms:W3CDTF">2019-06-04T08:01:00Z</dcterms:created>
  <dcterms:modified xsi:type="dcterms:W3CDTF">2019-06-04T08:28:00Z</dcterms:modified>
</cp:coreProperties>
</file>