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073FB1" w:rsidRDefault="00073FB1">
      <w:pPr>
        <w:rPr>
          <w:b/>
          <w:lang w:val="de-DE"/>
        </w:rPr>
      </w:pPr>
      <w:r w:rsidRPr="00073FB1">
        <w:rPr>
          <w:b/>
          <w:lang w:val="de-DE"/>
        </w:rPr>
        <w:t xml:space="preserve">Thomas </w:t>
      </w:r>
      <w:proofErr w:type="spellStart"/>
      <w:r w:rsidRPr="00073FB1">
        <w:rPr>
          <w:b/>
          <w:lang w:val="de-DE"/>
        </w:rPr>
        <w:t>Spitzley</w:t>
      </w:r>
      <w:proofErr w:type="spellEnd"/>
      <w:r w:rsidRPr="00073FB1">
        <w:rPr>
          <w:b/>
          <w:lang w:val="de-DE"/>
        </w:rPr>
        <w:t xml:space="preserve">: Handeln wider besseres Wissen. Eine Diskussion klassischer Positionen. Berlin: Walter de </w:t>
      </w:r>
      <w:proofErr w:type="spellStart"/>
      <w:r w:rsidRPr="00073FB1">
        <w:rPr>
          <w:b/>
          <w:lang w:val="de-DE"/>
        </w:rPr>
        <w:t>Gruyter</w:t>
      </w:r>
      <w:proofErr w:type="spellEnd"/>
      <w:r w:rsidRPr="00073FB1">
        <w:rPr>
          <w:b/>
          <w:lang w:val="de-DE"/>
        </w:rPr>
        <w:t xml:space="preserve">, 1992. </w:t>
      </w:r>
    </w:p>
    <w:p w:rsidR="00073FB1" w:rsidRDefault="00073FB1">
      <w:pPr>
        <w:rPr>
          <w:lang w:val="de-DE"/>
        </w:rPr>
      </w:pPr>
    </w:p>
    <w:p w:rsidR="00073FB1" w:rsidRDefault="0096483B">
      <w:pPr>
        <w:rPr>
          <w:lang w:val="de-DE"/>
        </w:rPr>
      </w:pPr>
      <w:r>
        <w:rPr>
          <w:lang w:val="de-DE"/>
        </w:rPr>
        <w:t xml:space="preserve">„Die Ansicht, die Sokrates im </w:t>
      </w:r>
      <w:r w:rsidRPr="0096483B">
        <w:rPr>
          <w:i/>
          <w:lang w:val="de-DE"/>
        </w:rPr>
        <w:t>Protagoras</w:t>
      </w:r>
      <w:r>
        <w:rPr>
          <w:lang w:val="de-DE"/>
        </w:rPr>
        <w:t xml:space="preserve"> vertritt, kann man als intellektualistisch bezeichnen. Ihr zentrales Motiv besteht in der entschiedenen Leugnung dessen, was wir im Alltag doch immer wieder zu erfahren glauben, nämlich </w:t>
      </w:r>
      <w:proofErr w:type="spellStart"/>
      <w:r>
        <w:rPr>
          <w:lang w:val="de-DE"/>
        </w:rPr>
        <w:t>daß</w:t>
      </w:r>
      <w:proofErr w:type="spellEnd"/>
      <w:r>
        <w:rPr>
          <w:lang w:val="de-DE"/>
        </w:rPr>
        <w:t xml:space="preserve"> es unmöglich ist, wider besseres Wissen zu handeln. Diese prima facie völlig unverständliche These wird begreiflich, wenn man sich die sokratische Auffassung von Wissen und dem Zusammenhang zwischen Wissen und Handeln vor Augen hält: Wissen und Handeln sind so eng miteinander verknüpft, </w:t>
      </w:r>
      <w:proofErr w:type="spellStart"/>
      <w:r>
        <w:rPr>
          <w:lang w:val="de-DE"/>
        </w:rPr>
        <w:t>daß</w:t>
      </w:r>
      <w:proofErr w:type="spellEnd"/>
      <w:r>
        <w:rPr>
          <w:lang w:val="de-DE"/>
        </w:rPr>
        <w:t xml:space="preserve"> derjenige, der </w:t>
      </w:r>
      <w:r w:rsidRPr="00B509CF">
        <w:rPr>
          <w:i/>
          <w:lang w:val="de-DE"/>
        </w:rPr>
        <w:t>weiß</w:t>
      </w:r>
      <w:r>
        <w:rPr>
          <w:lang w:val="de-DE"/>
        </w:rPr>
        <w:t xml:space="preserve">, was zu tun am besten ist, auch dementsprechend handelt. </w:t>
      </w:r>
      <w:r w:rsidRPr="00B509CF">
        <w:rPr>
          <w:i/>
          <w:lang w:val="de-DE"/>
        </w:rPr>
        <w:t>Wenn</w:t>
      </w:r>
      <w:r>
        <w:rPr>
          <w:lang w:val="de-DE"/>
        </w:rPr>
        <w:t xml:space="preserve"> das zutrifft, ist es natürlich unmöglich, </w:t>
      </w:r>
      <w:r w:rsidRPr="00B509CF">
        <w:rPr>
          <w:i/>
          <w:lang w:val="de-DE"/>
        </w:rPr>
        <w:t>wider</w:t>
      </w:r>
      <w:r>
        <w:rPr>
          <w:lang w:val="de-DE"/>
        </w:rPr>
        <w:t xml:space="preserve"> besseres </w:t>
      </w:r>
      <w:r w:rsidRPr="00B509CF">
        <w:rPr>
          <w:i/>
          <w:lang w:val="de-DE"/>
        </w:rPr>
        <w:t>Wissen</w:t>
      </w:r>
      <w:r>
        <w:rPr>
          <w:lang w:val="de-DE"/>
        </w:rPr>
        <w:t xml:space="preserve"> zu handeln.</w:t>
      </w:r>
      <w:r w:rsidR="00B509CF">
        <w:rPr>
          <w:lang w:val="de-DE"/>
        </w:rPr>
        <w:t xml:space="preserve">“ (59) </w:t>
      </w:r>
    </w:p>
    <w:p w:rsidR="00B509CF" w:rsidRDefault="00B509CF">
      <w:pPr>
        <w:rPr>
          <w:lang w:val="de-DE"/>
        </w:rPr>
      </w:pPr>
      <w:r>
        <w:rPr>
          <w:lang w:val="de-DE"/>
        </w:rPr>
        <w:t xml:space="preserve">„In der </w:t>
      </w:r>
      <w:proofErr w:type="spellStart"/>
      <w:r w:rsidRPr="00B509CF">
        <w:rPr>
          <w:i/>
          <w:lang w:val="de-DE"/>
        </w:rPr>
        <w:t>Politeia</w:t>
      </w:r>
      <w:proofErr w:type="spellEnd"/>
      <w:r>
        <w:rPr>
          <w:lang w:val="de-DE"/>
        </w:rPr>
        <w:t xml:space="preserve"> versucht Platon zu erläutern, wie ein solcher Konflikt doch möglich ist. Dort unterscheidet Platon drei Seelenteile: das Begehrende, das Eifernde und das Überlegende. Im Normalfall setzt das Eifernde den </w:t>
      </w:r>
      <w:proofErr w:type="spellStart"/>
      <w:r>
        <w:rPr>
          <w:lang w:val="de-DE"/>
        </w:rPr>
        <w:t>Beschluß</w:t>
      </w:r>
      <w:proofErr w:type="spellEnd"/>
      <w:r>
        <w:rPr>
          <w:lang w:val="de-DE"/>
        </w:rPr>
        <w:t xml:space="preserve"> des Überlegenden gegen den Widerstand des Begehrenden durch. Der Idealfall ist dadurch gekennzeichnet, </w:t>
      </w:r>
      <w:proofErr w:type="spellStart"/>
      <w:r>
        <w:rPr>
          <w:lang w:val="de-DE"/>
        </w:rPr>
        <w:t>daß</w:t>
      </w:r>
      <w:proofErr w:type="spellEnd"/>
      <w:r>
        <w:rPr>
          <w:lang w:val="de-DE"/>
        </w:rPr>
        <w:t xml:space="preserve"> die Seelenteile in einem wohlgeordneten Verhältnis </w:t>
      </w:r>
      <w:proofErr w:type="gramStart"/>
      <w:r>
        <w:rPr>
          <w:lang w:val="de-DE"/>
        </w:rPr>
        <w:t>zueinander stehen</w:t>
      </w:r>
      <w:proofErr w:type="gramEnd"/>
      <w:r>
        <w:rPr>
          <w:lang w:val="de-DE"/>
        </w:rPr>
        <w:t>; dann bedarf es keines Durchsetzungsvermögens des Eifernden mehr, denn das Begehrende steht dem Überlegenden gar nicht erst entgegen.“ (61)</w:t>
      </w:r>
    </w:p>
    <w:p w:rsidR="00B509CF" w:rsidRDefault="000123E2">
      <w:pPr>
        <w:rPr>
          <w:lang w:val="de-DE"/>
        </w:rPr>
      </w:pPr>
      <w:r>
        <w:rPr>
          <w:lang w:val="de-DE"/>
        </w:rPr>
        <w:t xml:space="preserve">Deutsche Übersetzungen für </w:t>
      </w:r>
      <w:proofErr w:type="spellStart"/>
      <w:r>
        <w:rPr>
          <w:lang w:val="de-DE"/>
        </w:rPr>
        <w:t>Akrasia</w:t>
      </w:r>
      <w:proofErr w:type="spellEnd"/>
      <w:r>
        <w:rPr>
          <w:lang w:val="de-DE"/>
        </w:rPr>
        <w:t xml:space="preserve">: Unbeherrschtheit (die Regel, aber auch:) </w:t>
      </w:r>
      <w:proofErr w:type="spellStart"/>
      <w:r>
        <w:rPr>
          <w:lang w:val="de-DE"/>
        </w:rPr>
        <w:t>Genußsucht</w:t>
      </w:r>
      <w:proofErr w:type="spellEnd"/>
      <w:r>
        <w:rPr>
          <w:lang w:val="de-DE"/>
        </w:rPr>
        <w:t xml:space="preserve">, </w:t>
      </w:r>
      <w:proofErr w:type="spellStart"/>
      <w:r>
        <w:rPr>
          <w:lang w:val="de-DE"/>
        </w:rPr>
        <w:t>Unenthaltsamkeit</w:t>
      </w:r>
      <w:proofErr w:type="spellEnd"/>
      <w:proofErr w:type="gramStart"/>
      <w:r>
        <w:rPr>
          <w:lang w:val="de-DE"/>
        </w:rPr>
        <w:t xml:space="preserve">. </w:t>
      </w:r>
      <w:proofErr w:type="gramEnd"/>
      <w:r>
        <w:rPr>
          <w:lang w:val="de-DE"/>
        </w:rPr>
        <w:t xml:space="preserve">(Fußnote S. 63) </w:t>
      </w:r>
    </w:p>
    <w:p w:rsidR="000123E2" w:rsidRDefault="000123E2">
      <w:pPr>
        <w:rPr>
          <w:lang w:val="de-DE"/>
        </w:rPr>
      </w:pPr>
      <w:r>
        <w:rPr>
          <w:lang w:val="de-DE"/>
        </w:rPr>
        <w:t xml:space="preserve">„weder ist </w:t>
      </w:r>
      <w:proofErr w:type="spellStart"/>
      <w:r>
        <w:rPr>
          <w:lang w:val="de-DE"/>
        </w:rPr>
        <w:t>Akrasia</w:t>
      </w:r>
      <w:proofErr w:type="spellEnd"/>
      <w:r>
        <w:rPr>
          <w:lang w:val="de-DE"/>
        </w:rPr>
        <w:t xml:space="preserve"> ein Laster im eigentlichen Sinne noch </w:t>
      </w:r>
      <w:proofErr w:type="spellStart"/>
      <w:r>
        <w:rPr>
          <w:lang w:val="de-DE"/>
        </w:rPr>
        <w:t>Enkrateia</w:t>
      </w:r>
      <w:proofErr w:type="spellEnd"/>
      <w:r>
        <w:rPr>
          <w:lang w:val="de-DE"/>
        </w:rPr>
        <w:t xml:space="preserve"> eine echte Tugend.“ (64) </w:t>
      </w:r>
    </w:p>
    <w:p w:rsidR="000123E2" w:rsidRDefault="000123E2">
      <w:pPr>
        <w:rPr>
          <w:lang w:val="de-DE"/>
        </w:rPr>
      </w:pPr>
      <w:r>
        <w:rPr>
          <w:lang w:val="de-DE"/>
        </w:rPr>
        <w:t xml:space="preserve">„Beispiele für [Gegenstände, die von Natur aus </w:t>
      </w:r>
      <w:proofErr w:type="spellStart"/>
      <w:r>
        <w:rPr>
          <w:lang w:val="de-DE"/>
        </w:rPr>
        <w:t>wählenswert</w:t>
      </w:r>
      <w:proofErr w:type="spellEnd"/>
      <w:r>
        <w:rPr>
          <w:lang w:val="de-DE"/>
        </w:rPr>
        <w:t xml:space="preserve"> sind] sind Geld, Sieg und Ehre. In die mittlere Kategorie (b) fallen Annehmlichkeiten […], die sich auf den Körper beziehen (körperliche Lust) (1147b23-27), d.h. auf </w:t>
      </w:r>
      <w:proofErr w:type="spellStart"/>
      <w:r>
        <w:rPr>
          <w:lang w:val="de-DE"/>
        </w:rPr>
        <w:t>Nahrungsgenuß</w:t>
      </w:r>
      <w:proofErr w:type="spellEnd"/>
      <w:r>
        <w:rPr>
          <w:lang w:val="de-DE"/>
        </w:rPr>
        <w:t xml:space="preserve"> und sexuelle Lust. Die, die derartige Annehmlichkeiten hervorbringen, werden nach Aristoteles als notwendig bezeichnet; damit ist gemeint, </w:t>
      </w:r>
      <w:proofErr w:type="spellStart"/>
      <w:r>
        <w:rPr>
          <w:lang w:val="de-DE"/>
        </w:rPr>
        <w:t>daß</w:t>
      </w:r>
      <w:proofErr w:type="spellEnd"/>
      <w:r>
        <w:rPr>
          <w:lang w:val="de-DE"/>
        </w:rPr>
        <w:t xml:space="preserve"> jeder nach solchen Dingen streben </w:t>
      </w:r>
      <w:proofErr w:type="spellStart"/>
      <w:r>
        <w:rPr>
          <w:lang w:val="de-DE"/>
        </w:rPr>
        <w:t>muß</w:t>
      </w:r>
      <w:proofErr w:type="spellEnd"/>
      <w:r>
        <w:rPr>
          <w:lang w:val="de-DE"/>
        </w:rPr>
        <w:t xml:space="preserve">, wenn auch nur in einem gewissen Maße.“ (67) </w:t>
      </w:r>
    </w:p>
    <w:p w:rsidR="0019158D" w:rsidRDefault="000123E2">
      <w:pPr>
        <w:rPr>
          <w:lang w:val="de-DE"/>
        </w:rPr>
      </w:pPr>
      <w:r>
        <w:rPr>
          <w:lang w:val="de-DE"/>
        </w:rPr>
        <w:t>„</w:t>
      </w:r>
      <w:proofErr w:type="spellStart"/>
      <w:r>
        <w:rPr>
          <w:lang w:val="de-DE"/>
        </w:rPr>
        <w:t>Akrasia</w:t>
      </w:r>
      <w:proofErr w:type="spellEnd"/>
      <w:r>
        <w:rPr>
          <w:lang w:val="de-DE"/>
        </w:rPr>
        <w:t xml:space="preserve"> im eigentlichen Sinne bezieht sich laut Aristoteles auf Essen, Trinken und Sexualität.</w:t>
      </w:r>
      <w:r w:rsidR="0019158D">
        <w:rPr>
          <w:lang w:val="de-DE"/>
        </w:rPr>
        <w:t xml:space="preserve"> […] Unwissend ist der </w:t>
      </w:r>
      <w:proofErr w:type="spellStart"/>
      <w:r w:rsidR="0019158D">
        <w:rPr>
          <w:lang w:val="de-DE"/>
        </w:rPr>
        <w:t>Akratiker</w:t>
      </w:r>
      <w:proofErr w:type="spellEnd"/>
      <w:r w:rsidR="0019158D">
        <w:rPr>
          <w:lang w:val="de-DE"/>
        </w:rPr>
        <w:t xml:space="preserve"> insofern, als er zur Zeit des </w:t>
      </w:r>
      <w:proofErr w:type="spellStart"/>
      <w:r w:rsidR="0019158D">
        <w:rPr>
          <w:lang w:val="de-DE"/>
        </w:rPr>
        <w:t>akratischen</w:t>
      </w:r>
      <w:proofErr w:type="spellEnd"/>
      <w:r w:rsidR="0019158D">
        <w:rPr>
          <w:lang w:val="de-DE"/>
        </w:rPr>
        <w:t xml:space="preserve"> Handelns kein Wissen davon hat, was zu tun am besten ist, welches auf seine Handlung </w:t>
      </w:r>
      <w:proofErr w:type="spellStart"/>
      <w:r w:rsidR="0019158D">
        <w:rPr>
          <w:lang w:val="de-DE"/>
        </w:rPr>
        <w:t>Einfluß</w:t>
      </w:r>
      <w:proofErr w:type="spellEnd"/>
      <w:r w:rsidR="0019158D">
        <w:rPr>
          <w:lang w:val="de-DE"/>
        </w:rPr>
        <w:t xml:space="preserve"> nehmen könnte“ (109) </w:t>
      </w:r>
    </w:p>
    <w:p w:rsidR="000123E2" w:rsidRPr="00073FB1" w:rsidRDefault="0019158D">
      <w:pPr>
        <w:rPr>
          <w:lang w:val="de-DE"/>
        </w:rPr>
      </w:pPr>
      <w:r>
        <w:rPr>
          <w:lang w:val="de-DE"/>
        </w:rPr>
        <w:t>„</w:t>
      </w:r>
      <w:bookmarkStart w:id="0" w:name="_GoBack"/>
      <w:proofErr w:type="spellStart"/>
      <w:r w:rsidRPr="0019158D">
        <w:rPr>
          <w:i/>
          <w:lang w:val="de-DE"/>
        </w:rPr>
        <w:t>Incontinentia</w:t>
      </w:r>
      <w:bookmarkEnd w:id="0"/>
      <w:proofErr w:type="spellEnd"/>
      <w:r>
        <w:rPr>
          <w:lang w:val="de-DE"/>
        </w:rPr>
        <w:t>, wie Thomas es nennt“ (111)</w:t>
      </w:r>
      <w:r w:rsidR="000123E2">
        <w:rPr>
          <w:lang w:val="de-DE"/>
        </w:rPr>
        <w:t xml:space="preserve"> </w:t>
      </w:r>
    </w:p>
    <w:sectPr w:rsidR="000123E2" w:rsidRPr="00073FB1"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FB1"/>
    <w:rsid w:val="000123E2"/>
    <w:rsid w:val="00073FB1"/>
    <w:rsid w:val="001231ED"/>
    <w:rsid w:val="0019158D"/>
    <w:rsid w:val="00395CDE"/>
    <w:rsid w:val="0055526E"/>
    <w:rsid w:val="00635244"/>
    <w:rsid w:val="006E0AF6"/>
    <w:rsid w:val="0096483B"/>
    <w:rsid w:val="00B50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45DA96B9-FA18-5742-9CF6-8958B9D4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2020-01-13T14:59:00Z</dcterms:created>
  <dcterms:modified xsi:type="dcterms:W3CDTF">2020-01-13T16:00:00Z</dcterms:modified>
</cp:coreProperties>
</file>