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6B51C3" w:rsidRDefault="006B51C3">
      <w:pPr>
        <w:rPr>
          <w:b/>
          <w:lang w:val="de-DE"/>
        </w:rPr>
      </w:pPr>
      <w:r w:rsidRPr="006B51C3">
        <w:rPr>
          <w:b/>
          <w:lang w:val="de-DE"/>
        </w:rPr>
        <w:t>Martin Seel: Kleine Phänomenologie des Lassens. In: Sich bestimmen lassen. Studien zur theoretischen und praktischen Philosophie. Frankfurt am Main: Suhrkamp, 2002, 270-278.</w:t>
      </w:r>
    </w:p>
    <w:p w:rsidR="006B51C3" w:rsidRDefault="006B51C3">
      <w:pPr>
        <w:rPr>
          <w:lang w:val="de-DE"/>
        </w:rPr>
      </w:pPr>
    </w:p>
    <w:p w:rsidR="006B51C3" w:rsidRDefault="006B51C3">
      <w:pPr>
        <w:rPr>
          <w:lang w:val="de-DE"/>
        </w:rPr>
      </w:pPr>
      <w:r>
        <w:rPr>
          <w:lang w:val="de-DE"/>
        </w:rPr>
        <w:t xml:space="preserve">„‘Indem wir </w:t>
      </w:r>
      <w:proofErr w:type="spellStart"/>
      <w:r>
        <w:rPr>
          <w:lang w:val="de-DE"/>
        </w:rPr>
        <w:t>thun</w:t>
      </w:r>
      <w:proofErr w:type="spellEnd"/>
      <w:r>
        <w:rPr>
          <w:lang w:val="de-DE"/>
        </w:rPr>
        <w:t xml:space="preserve">, lassen wir‘, lautet eine Schlagzeile in Nietzsches </w:t>
      </w:r>
      <w:r w:rsidRPr="006B51C3">
        <w:rPr>
          <w:i/>
          <w:lang w:val="de-DE"/>
        </w:rPr>
        <w:t>Die fröhliche Wissenschaft</w:t>
      </w:r>
      <w:r>
        <w:rPr>
          <w:lang w:val="de-DE"/>
        </w:rPr>
        <w:t>.“ (270)</w:t>
      </w:r>
    </w:p>
    <w:p w:rsidR="006B51C3" w:rsidRDefault="006B51C3">
      <w:pPr>
        <w:rPr>
          <w:lang w:val="de-DE"/>
        </w:rPr>
      </w:pPr>
    </w:p>
    <w:p w:rsidR="006B51C3" w:rsidRDefault="006B51C3" w:rsidP="006B51C3">
      <w:pPr>
        <w:rPr>
          <w:lang w:val="de-DE"/>
        </w:rPr>
      </w:pPr>
      <w:r>
        <w:rPr>
          <w:lang w:val="de-DE"/>
        </w:rPr>
        <w:t>„Auslassen“, 270</w:t>
      </w:r>
    </w:p>
    <w:p w:rsidR="006B51C3" w:rsidRDefault="006B51C3" w:rsidP="006B51C3">
      <w:pPr>
        <w:rPr>
          <w:lang w:val="de-DE"/>
        </w:rPr>
      </w:pPr>
      <w:r>
        <w:rPr>
          <w:lang w:val="de-DE"/>
        </w:rPr>
        <w:t xml:space="preserve">„In einem trivialen Sinn ist alles Tun darum ein Lassen, weil es ein Auslassen ist. […] Der Freie lässt viele seiner Möglichkeiten absichtlich aus.“ (270) </w:t>
      </w:r>
    </w:p>
    <w:p w:rsidR="006B51C3" w:rsidRDefault="006B51C3" w:rsidP="006B51C3">
      <w:pPr>
        <w:rPr>
          <w:lang w:val="de-DE"/>
        </w:rPr>
      </w:pPr>
    </w:p>
    <w:p w:rsidR="006B51C3" w:rsidRDefault="006B51C3" w:rsidP="006B51C3">
      <w:pPr>
        <w:rPr>
          <w:lang w:val="de-DE"/>
        </w:rPr>
      </w:pPr>
      <w:r>
        <w:rPr>
          <w:lang w:val="de-DE"/>
        </w:rPr>
        <w:t>„Unterlassen“, 270-272</w:t>
      </w:r>
    </w:p>
    <w:p w:rsidR="006B51C3" w:rsidRDefault="006B51C3" w:rsidP="006B51C3">
      <w:pPr>
        <w:rPr>
          <w:lang w:val="de-DE"/>
        </w:rPr>
      </w:pPr>
      <w:r>
        <w:rPr>
          <w:lang w:val="de-DE"/>
        </w:rPr>
        <w:t>„Zu Unterlassungen kommt es nur, wenn die ausgeschlagene Handlung eine ist, die aus irgendeinem Grund angebracht oder er</w:t>
      </w:r>
      <w:proofErr w:type="gramStart"/>
      <w:r>
        <w:rPr>
          <w:lang w:val="de-DE"/>
        </w:rPr>
        <w:t>-[</w:t>
      </w:r>
      <w:proofErr w:type="gramEnd"/>
      <w:r>
        <w:rPr>
          <w:lang w:val="de-DE"/>
        </w:rPr>
        <w:t>271]</w:t>
      </w:r>
      <w:proofErr w:type="spellStart"/>
      <w:r>
        <w:rPr>
          <w:lang w:val="de-DE"/>
        </w:rPr>
        <w:t>wartbar</w:t>
      </w:r>
      <w:proofErr w:type="spellEnd"/>
      <w:r>
        <w:rPr>
          <w:lang w:val="de-DE"/>
        </w:rPr>
        <w:t xml:space="preserve"> gewesen wäre.“ (270-271) </w:t>
      </w:r>
    </w:p>
    <w:p w:rsidR="006B51C3" w:rsidRDefault="006B51C3" w:rsidP="006B51C3">
      <w:pPr>
        <w:rPr>
          <w:lang w:val="de-DE"/>
        </w:rPr>
      </w:pPr>
      <w:r>
        <w:rPr>
          <w:lang w:val="de-DE"/>
        </w:rPr>
        <w:t xml:space="preserve">„Er begeht eine Unterlassungssünde oder beweist eine Unterlassungstugend.“ (271) </w:t>
      </w:r>
    </w:p>
    <w:p w:rsidR="006B51C3" w:rsidRDefault="006B51C3" w:rsidP="006B51C3">
      <w:pPr>
        <w:rPr>
          <w:lang w:val="de-DE"/>
        </w:rPr>
      </w:pPr>
      <w:r>
        <w:rPr>
          <w:lang w:val="de-DE"/>
        </w:rPr>
        <w:t xml:space="preserve">„Es stellt sich vielmehr umgekehrt die Frage, ob das Unterlassen, das im Nicht-Ergreifen einer gebotenen oder verlockenden Handlungsmöglichkeit besteht, überhaupt als ein </w:t>
      </w:r>
      <w:r w:rsidRPr="006B51C3">
        <w:rPr>
          <w:i/>
          <w:lang w:val="de-DE"/>
        </w:rPr>
        <w:t>Handeln</w:t>
      </w:r>
      <w:r>
        <w:rPr>
          <w:lang w:val="de-DE"/>
        </w:rPr>
        <w:t xml:space="preserve"> zu verstehen ist, mithin: ob denn alles Unterlassen als ein Tun verrechnet werden darf.“ (271)</w:t>
      </w:r>
    </w:p>
    <w:p w:rsidR="00350DFD" w:rsidRDefault="00350DFD" w:rsidP="006B51C3">
      <w:pPr>
        <w:rPr>
          <w:lang w:val="de-DE"/>
        </w:rPr>
      </w:pPr>
      <w:r>
        <w:rPr>
          <w:lang w:val="de-DE"/>
        </w:rPr>
        <w:t>„</w:t>
      </w:r>
      <w:r w:rsidR="009E0ABA">
        <w:rPr>
          <w:lang w:val="de-DE"/>
        </w:rPr>
        <w:t xml:space="preserve">Unterlassungen sind Handlungen, die uns – in Lob und Tadel, durch Belohnung oder Strafe – </w:t>
      </w:r>
      <w:r w:rsidR="009E0ABA" w:rsidRPr="009E0ABA">
        <w:rPr>
          <w:i/>
          <w:lang w:val="de-DE"/>
        </w:rPr>
        <w:t>zugerechnet</w:t>
      </w:r>
      <w:r w:rsidR="009E0ABA">
        <w:rPr>
          <w:lang w:val="de-DE"/>
        </w:rPr>
        <w:t xml:space="preserve"> werden können. […] </w:t>
      </w:r>
      <w:r>
        <w:rPr>
          <w:lang w:val="de-DE"/>
        </w:rPr>
        <w:t xml:space="preserve">Auch wenn wir geneigt sind, das Ergreifen als ein aktives und das Auslassen als passives Verhalten zu verbuchen – auch der, der etwas unterlässt, </w:t>
      </w:r>
      <w:r w:rsidRPr="009E0ABA">
        <w:rPr>
          <w:i/>
          <w:lang w:val="de-DE"/>
        </w:rPr>
        <w:t>ergreift</w:t>
      </w:r>
      <w:r>
        <w:rPr>
          <w:lang w:val="de-DE"/>
        </w:rPr>
        <w:t xml:space="preserve"> eine Möglichkeit, etwa die, dem Ertrinkenden zuzuschauen.</w:t>
      </w:r>
    </w:p>
    <w:p w:rsidR="00A92915" w:rsidRDefault="00A92915" w:rsidP="006B51C3">
      <w:pPr>
        <w:rPr>
          <w:lang w:val="de-DE"/>
        </w:rPr>
      </w:pPr>
    </w:p>
    <w:p w:rsidR="00A92915" w:rsidRDefault="00A92915" w:rsidP="006B51C3">
      <w:pPr>
        <w:rPr>
          <w:lang w:val="de-DE"/>
        </w:rPr>
      </w:pPr>
      <w:r>
        <w:rPr>
          <w:lang w:val="de-DE"/>
        </w:rPr>
        <w:t xml:space="preserve">„Vita </w:t>
      </w:r>
      <w:proofErr w:type="spellStart"/>
      <w:r>
        <w:rPr>
          <w:lang w:val="de-DE"/>
        </w:rPr>
        <w:t>passiva</w:t>
      </w:r>
      <w:proofErr w:type="spellEnd"/>
      <w:r>
        <w:rPr>
          <w:lang w:val="de-DE"/>
        </w:rPr>
        <w:t>“, 272-273</w:t>
      </w:r>
    </w:p>
    <w:p w:rsidR="00A92915" w:rsidRDefault="00A92915" w:rsidP="006B51C3">
      <w:pPr>
        <w:rPr>
          <w:lang w:val="de-DE"/>
        </w:rPr>
      </w:pPr>
      <w:r>
        <w:rPr>
          <w:lang w:val="de-DE"/>
        </w:rPr>
        <w:t>„Die Segnungen der Passivität entspringen einem Tun, das den Ausführenden wie von selber, also ohne Willensanstrengung gelingt, wie viel physische Anstrengung damit auch verbunden sein mag. Es ist ein Tun, bei dem sie sich gehen lassen können.“ (272)</w:t>
      </w:r>
    </w:p>
    <w:p w:rsidR="00A92915" w:rsidRDefault="00A92915" w:rsidP="006B51C3">
      <w:pPr>
        <w:rPr>
          <w:lang w:val="de-DE"/>
        </w:rPr>
      </w:pPr>
      <w:r>
        <w:rPr>
          <w:lang w:val="de-DE"/>
        </w:rPr>
        <w:t>„</w:t>
      </w:r>
      <w:proofErr w:type="spellStart"/>
      <w:r w:rsidRPr="00A92915">
        <w:rPr>
          <w:i/>
          <w:lang w:val="de-DE"/>
        </w:rPr>
        <w:t>Sur</w:t>
      </w:r>
      <w:proofErr w:type="spellEnd"/>
      <w:r w:rsidRPr="00A92915">
        <w:rPr>
          <w:i/>
          <w:lang w:val="de-DE"/>
        </w:rPr>
        <w:t xml:space="preserve"> </w:t>
      </w:r>
      <w:proofErr w:type="spellStart"/>
      <w:r w:rsidRPr="00A92915">
        <w:rPr>
          <w:i/>
          <w:lang w:val="de-DE"/>
        </w:rPr>
        <w:t>l’eau</w:t>
      </w:r>
      <w:proofErr w:type="spellEnd"/>
      <w:r>
        <w:rPr>
          <w:lang w:val="de-DE"/>
        </w:rPr>
        <w:t xml:space="preserve"> heißt der 100. Aphorismus in Adornos Minima </w:t>
      </w:r>
      <w:proofErr w:type="spellStart"/>
      <w:r>
        <w:rPr>
          <w:lang w:val="de-DE"/>
        </w:rPr>
        <w:t>Moralia</w:t>
      </w:r>
      <w:proofErr w:type="spellEnd"/>
      <w:r>
        <w:rPr>
          <w:lang w:val="de-DE"/>
        </w:rPr>
        <w:t xml:space="preserve">, der sich in das berühmte, mit einem aberwitzigen Zitat aus Hegels </w:t>
      </w:r>
      <w:r w:rsidRPr="00A92915">
        <w:rPr>
          <w:i/>
          <w:lang w:val="de-DE"/>
        </w:rPr>
        <w:t>Logik</w:t>
      </w:r>
      <w:r>
        <w:rPr>
          <w:lang w:val="de-DE"/>
        </w:rPr>
        <w:t xml:space="preserve"> garniert Bild eines vollkommen befreiten Lebens hineinsteigert. ‚</w:t>
      </w:r>
      <w:proofErr w:type="spellStart"/>
      <w:r>
        <w:rPr>
          <w:lang w:val="de-DE"/>
        </w:rPr>
        <w:t>Rien</w:t>
      </w:r>
      <w:proofErr w:type="spellEnd"/>
      <w:r>
        <w:rPr>
          <w:lang w:val="de-DE"/>
        </w:rPr>
        <w:t xml:space="preserve"> faire </w:t>
      </w:r>
      <w:proofErr w:type="spellStart"/>
      <w:r>
        <w:rPr>
          <w:lang w:val="de-DE"/>
        </w:rPr>
        <w:t>comme</w:t>
      </w:r>
      <w:proofErr w:type="spellEnd"/>
      <w:r>
        <w:rPr>
          <w:lang w:val="de-DE"/>
        </w:rPr>
        <w:t xml:space="preserve"> </w:t>
      </w:r>
      <w:proofErr w:type="spellStart"/>
      <w:r>
        <w:rPr>
          <w:lang w:val="de-DE"/>
        </w:rPr>
        <w:t>une</w:t>
      </w:r>
      <w:proofErr w:type="spellEnd"/>
      <w:r>
        <w:rPr>
          <w:lang w:val="de-DE"/>
        </w:rPr>
        <w:t xml:space="preserve"> </w:t>
      </w:r>
      <w:proofErr w:type="spellStart"/>
      <w:r>
        <w:rPr>
          <w:lang w:val="de-DE"/>
        </w:rPr>
        <w:t>b</w:t>
      </w:r>
      <w:r>
        <w:rPr>
          <w:rFonts w:ascii="Calibri" w:hAnsi="Calibri" w:cs="Calibri"/>
          <w:lang w:val="de-DE"/>
        </w:rPr>
        <w:t>ê</w:t>
      </w:r>
      <w:r>
        <w:rPr>
          <w:lang w:val="de-DE"/>
        </w:rPr>
        <w:t>te</w:t>
      </w:r>
      <w:proofErr w:type="spellEnd"/>
      <w:r>
        <w:rPr>
          <w:lang w:val="de-DE"/>
        </w:rPr>
        <w:t xml:space="preserve">, auf dem Wasser liegen und friedlich in den Himmel schauen, ‚sein, sonst nichts, ohne weitere Bestimmung und Erfüllung‘, könnte an die Stelle von </w:t>
      </w:r>
      <w:proofErr w:type="spellStart"/>
      <w:r>
        <w:rPr>
          <w:lang w:val="de-DE"/>
        </w:rPr>
        <w:t>Prozeß</w:t>
      </w:r>
      <w:proofErr w:type="spellEnd"/>
      <w:r>
        <w:rPr>
          <w:lang w:val="de-DE"/>
        </w:rPr>
        <w:t xml:space="preserve">, Tun, Erfüllen treten und so wahrhaft das Versprechen der dialektischen Logik einlösen, in [273] ihren Ursprung münden.‘“ (272-273) </w:t>
      </w:r>
    </w:p>
    <w:p w:rsidR="00A92915" w:rsidRDefault="00A92915" w:rsidP="006B51C3">
      <w:pPr>
        <w:rPr>
          <w:lang w:val="de-DE"/>
        </w:rPr>
      </w:pPr>
    </w:p>
    <w:p w:rsidR="00A92915" w:rsidRDefault="00A92915" w:rsidP="006B51C3">
      <w:pPr>
        <w:rPr>
          <w:lang w:val="de-DE"/>
        </w:rPr>
      </w:pPr>
      <w:r>
        <w:rPr>
          <w:lang w:val="de-DE"/>
        </w:rPr>
        <w:t>„Sein lassen“, 273-274</w:t>
      </w:r>
    </w:p>
    <w:p w:rsidR="009D5276" w:rsidRDefault="009D5276" w:rsidP="006B51C3">
      <w:pPr>
        <w:rPr>
          <w:lang w:val="de-DE"/>
        </w:rPr>
      </w:pPr>
      <w:r>
        <w:rPr>
          <w:lang w:val="de-DE"/>
        </w:rPr>
        <w:t>„Bevor Adorno sein extremes Bild der individuellen Glückseligkeit malt, entwirft er einen Zustand kollektiven Lassens. ‚Vielleicht wird die wahre Gesellschaft der Entfaltung überdrüssig und lässt aus Freiheit Möglichkeiten ungenutzt, anstatt unter irrem Zwang auf fremde Sterne einzustürmen.‘ Möglichkeiten, die man hätte, bleiben zu lassen, ist aber auch eine individuelle Verhaltensweise, die in einem freien Selbstverhältnis nicht fehlen darf. Ob man deswegen aller Entfaltung überdrüssig werden muss, mag dahingestellt bleiben; für Individuen wie Gesellschaften jedoch dürfte es keine Entfaltung geben, wenn sie sich nicht auch der Enthaltung als fähig erweisen.</w:t>
      </w:r>
    </w:p>
    <w:p w:rsidR="009D5276" w:rsidRDefault="009D5276" w:rsidP="006B51C3">
      <w:pPr>
        <w:rPr>
          <w:lang w:val="de-DE"/>
        </w:rPr>
      </w:pPr>
      <w:r>
        <w:rPr>
          <w:lang w:val="de-DE"/>
        </w:rPr>
        <w:t xml:space="preserve">Diese Enthaltung ist mehr als das unvermeidliche Auslassen und weniger als das vermeidbare Unterlassen. Während das Unterlassen immer eine Handlung betrifft, die – im Namen der </w:t>
      </w:r>
      <w:r>
        <w:rPr>
          <w:lang w:val="de-DE"/>
        </w:rPr>
        <w:lastRenderedPageBreak/>
        <w:t xml:space="preserve">Moral oder des eigenen Nutzens – eigentlich geboten wäre, nimmt das Seinlassen von Unternehmungen Abstand, die sich aus der Sicht der Handelnden überhaupt nicht oder nicht länger lohnen. Sie machen nicht mehr mit, sie lassen davon ab – sie lassen es bleiben.“ (273) </w:t>
      </w:r>
    </w:p>
    <w:p w:rsidR="000937B6" w:rsidRDefault="000937B6" w:rsidP="006B51C3">
      <w:pPr>
        <w:rPr>
          <w:lang w:val="de-DE"/>
        </w:rPr>
      </w:pPr>
      <w:r>
        <w:rPr>
          <w:lang w:val="de-DE"/>
        </w:rPr>
        <w:t>„Auf einer zweiten Stufe betrifft das Seinlassen nicht länger Handlungen, sondern Haltungen. Es rückt ab von aller Fixierung auf die Verwirklichung selbstgesetzter Ziele. Damit setzt es sich selbst als die [274]</w:t>
      </w:r>
      <w:r w:rsidR="00B06E17">
        <w:rPr>
          <w:lang w:val="de-DE"/>
        </w:rPr>
        <w:t xml:space="preserve"> maßgebliche Einstellung zu den menschlichen Angelegenheiten. Das Seinlassen läuft hier auf ein Abstandhalten zum Getriebe der Welt hinaus“ (272-273) </w:t>
      </w:r>
    </w:p>
    <w:p w:rsidR="00B06E17" w:rsidRDefault="00B06E17" w:rsidP="006B51C3">
      <w:pPr>
        <w:rPr>
          <w:lang w:val="de-DE"/>
        </w:rPr>
      </w:pPr>
    </w:p>
    <w:p w:rsidR="00B06E17" w:rsidRDefault="00B06E17" w:rsidP="006B51C3">
      <w:pPr>
        <w:rPr>
          <w:lang w:val="de-DE"/>
        </w:rPr>
      </w:pPr>
      <w:r>
        <w:rPr>
          <w:lang w:val="de-DE"/>
        </w:rPr>
        <w:t>„Sich einlassen“, 274-275</w:t>
      </w:r>
    </w:p>
    <w:p w:rsidR="00B06E17" w:rsidRDefault="00B06E17" w:rsidP="006B51C3">
      <w:pPr>
        <w:rPr>
          <w:lang w:val="de-DE"/>
        </w:rPr>
      </w:pPr>
      <w:r>
        <w:rPr>
          <w:lang w:val="de-DE"/>
        </w:rPr>
        <w:t>„Denn Handeln ist eben das: sich aus eigener Bestimmung bestimmen zu lassen.</w:t>
      </w:r>
    </w:p>
    <w:p w:rsidR="00B06E17" w:rsidRDefault="00B06E17" w:rsidP="006B51C3">
      <w:pPr>
        <w:rPr>
          <w:lang w:val="de-DE"/>
        </w:rPr>
      </w:pPr>
      <w:r>
        <w:rPr>
          <w:lang w:val="de-DE"/>
        </w:rPr>
        <w:t xml:space="preserve">Die Grundbedeutung des Lassens, das alle Vollzüge meines Tuns muss begleiten können, ist daher die eines </w:t>
      </w:r>
      <w:proofErr w:type="spellStart"/>
      <w:r>
        <w:rPr>
          <w:lang w:val="de-DE"/>
        </w:rPr>
        <w:t>Sicheinlassens</w:t>
      </w:r>
      <w:proofErr w:type="spellEnd"/>
      <w:r>
        <w:rPr>
          <w:lang w:val="de-DE"/>
        </w:rPr>
        <w:t xml:space="preserve">-auf.“ (275) </w:t>
      </w:r>
    </w:p>
    <w:p w:rsidR="00F55DFE" w:rsidRDefault="00F55DFE" w:rsidP="006B51C3">
      <w:pPr>
        <w:rPr>
          <w:lang w:val="de-DE"/>
        </w:rPr>
      </w:pPr>
    </w:p>
    <w:p w:rsidR="00F55DFE" w:rsidRDefault="00F55DFE" w:rsidP="006B51C3">
      <w:pPr>
        <w:rPr>
          <w:lang w:val="de-DE"/>
        </w:rPr>
      </w:pPr>
      <w:r>
        <w:rPr>
          <w:lang w:val="de-DE"/>
        </w:rPr>
        <w:t>„Holzwege“, 276-277</w:t>
      </w:r>
    </w:p>
    <w:p w:rsidR="00F55DFE" w:rsidRDefault="00F55DFE" w:rsidP="006B51C3">
      <w:pPr>
        <w:rPr>
          <w:lang w:val="de-DE"/>
        </w:rPr>
      </w:pPr>
    </w:p>
    <w:p w:rsidR="00F55DFE" w:rsidRPr="006B51C3" w:rsidRDefault="00F55DFE" w:rsidP="006B51C3">
      <w:pPr>
        <w:rPr>
          <w:lang w:val="de-DE"/>
        </w:rPr>
      </w:pPr>
      <w:r>
        <w:rPr>
          <w:lang w:val="de-DE"/>
        </w:rPr>
        <w:t>„Gelassenheit“, 277-278</w:t>
      </w:r>
      <w:bookmarkStart w:id="0" w:name="_GoBack"/>
      <w:bookmarkEnd w:id="0"/>
    </w:p>
    <w:sectPr w:rsidR="00F55DFE" w:rsidRPr="006B51C3"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51C3"/>
    <w:rsid w:val="000937B6"/>
    <w:rsid w:val="001231ED"/>
    <w:rsid w:val="00350DFD"/>
    <w:rsid w:val="00395CDE"/>
    <w:rsid w:val="0055526E"/>
    <w:rsid w:val="00635244"/>
    <w:rsid w:val="006B51C3"/>
    <w:rsid w:val="006E0AF6"/>
    <w:rsid w:val="009D5276"/>
    <w:rsid w:val="009E0ABA"/>
    <w:rsid w:val="00A92915"/>
    <w:rsid w:val="00B06E17"/>
    <w:rsid w:val="00F55D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A577401"/>
  <w14:defaultImageDpi w14:val="32767"/>
  <w15:chartTrackingRefBased/>
  <w15:docId w15:val="{F2506DD6-229D-8A4C-8728-BA62B5772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581</Words>
  <Characters>3316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6</cp:revision>
  <dcterms:created xsi:type="dcterms:W3CDTF">2019-12-26T16:22:00Z</dcterms:created>
  <dcterms:modified xsi:type="dcterms:W3CDTF">2019-12-27T03:29:00Z</dcterms:modified>
</cp:coreProperties>
</file>