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756C9A" w:rsidRDefault="00CC010C">
      <w:pPr>
        <w:rPr>
          <w:b/>
          <w:lang w:val="de-DE"/>
        </w:rPr>
      </w:pPr>
      <w:r w:rsidRPr="00756C9A">
        <w:rPr>
          <w:b/>
          <w:lang w:val="de-DE"/>
        </w:rPr>
        <w:t xml:space="preserve">Martin Seel: 3. Rhythmen des Lebens. Kant über erfüllte und leere Zeit. </w:t>
      </w:r>
      <w:r w:rsidR="00756C9A" w:rsidRPr="00756C9A">
        <w:rPr>
          <w:b/>
          <w:lang w:val="de-DE"/>
        </w:rPr>
        <w:t xml:space="preserve">In: Paradoxien der Erfüllung. Philosophische Essays. Frankfurt am Main: Fischer, 2006, </w:t>
      </w:r>
      <w:r w:rsidRPr="00756C9A">
        <w:rPr>
          <w:b/>
          <w:lang w:val="de-DE"/>
        </w:rPr>
        <w:t>44-</w:t>
      </w:r>
      <w:r w:rsidR="00756C9A" w:rsidRPr="00756C9A">
        <w:rPr>
          <w:b/>
          <w:lang w:val="de-DE"/>
        </w:rPr>
        <w:t xml:space="preserve">69. </w:t>
      </w:r>
    </w:p>
    <w:p w:rsidR="00CC010C" w:rsidRDefault="00CC010C">
      <w:pPr>
        <w:rPr>
          <w:lang w:val="de-DE"/>
        </w:rPr>
      </w:pPr>
      <w:bookmarkStart w:id="0" w:name="_GoBack"/>
      <w:bookmarkEnd w:id="0"/>
    </w:p>
    <w:p w:rsidR="00CC010C" w:rsidRDefault="00CC010C">
      <w:pPr>
        <w:rPr>
          <w:lang w:val="de-DE"/>
        </w:rPr>
      </w:pPr>
      <w:r>
        <w:rPr>
          <w:lang w:val="de-DE"/>
        </w:rPr>
        <w:t>„‘Der Schmerz ist der Stachel der Tätigkeit und in dieser fühlen wir allererst unser Leben; ohne diesen würde Leblosigkeit eintreten.‘ ([</w:t>
      </w:r>
      <w:r w:rsidRPr="00CC010C">
        <w:rPr>
          <w:i/>
          <w:lang w:val="de-DE"/>
        </w:rPr>
        <w:t>Anthropologie in pragmatischer Hinsicht</w:t>
      </w:r>
      <w:r>
        <w:rPr>
          <w:lang w:val="de-DE"/>
        </w:rPr>
        <w:t xml:space="preserve">; F.E.] BA 170) Damit ist das Leitmotiv ausgesprochen, das Kants gesamte Reflexion über dieses Thema leitet: Es ist die </w:t>
      </w:r>
      <w:proofErr w:type="spellStart"/>
      <w:r>
        <w:rPr>
          <w:lang w:val="de-DE"/>
        </w:rPr>
        <w:t>vita</w:t>
      </w:r>
      <w:proofErr w:type="spellEnd"/>
      <w:r>
        <w:rPr>
          <w:lang w:val="de-DE"/>
        </w:rPr>
        <w:t xml:space="preserve"> </w:t>
      </w:r>
      <w:proofErr w:type="spellStart"/>
      <w:r>
        <w:rPr>
          <w:lang w:val="de-DE"/>
        </w:rPr>
        <w:t>activa</w:t>
      </w:r>
      <w:proofErr w:type="spellEnd"/>
      <w:r>
        <w:rPr>
          <w:lang w:val="de-DE"/>
        </w:rPr>
        <w:t xml:space="preserve">, und die allein, die einen Lebenszustand ermöglicht, der als ‚angenehm‘ (BA 169) erfahren werden kann und den zu erhalten sich lohnt. </w:t>
      </w:r>
      <w:proofErr w:type="spellStart"/>
      <w:r w:rsidR="009D4EA5">
        <w:rPr>
          <w:lang w:val="de-DE"/>
        </w:rPr>
        <w:t>Tätigsein</w:t>
      </w:r>
      <w:proofErr w:type="spellEnd"/>
      <w:r w:rsidR="009D4EA5">
        <w:rPr>
          <w:lang w:val="de-DE"/>
        </w:rPr>
        <w:t xml:space="preserve"> aber bedeutet, mit dem jeweiligen Lebenszustand </w:t>
      </w:r>
      <w:r w:rsidR="009D4EA5" w:rsidRPr="009D4EA5">
        <w:rPr>
          <w:i/>
          <w:lang w:val="de-DE"/>
        </w:rPr>
        <w:t>nicht</w:t>
      </w:r>
      <w:r w:rsidR="009D4EA5">
        <w:rPr>
          <w:lang w:val="de-DE"/>
        </w:rPr>
        <w:t xml:space="preserve"> zufrieden zu sein: Nur aus dieser elementaren Unzufriedenheit mit der jeweiligen Lebenssituation, meint Kant, kann Zufriedenheit mit der übergreifenden Situation des Lebens entspringen.“ (45) </w:t>
      </w:r>
    </w:p>
    <w:p w:rsidR="009D4EA5" w:rsidRDefault="009D4EA5">
      <w:pPr>
        <w:rPr>
          <w:lang w:val="de-DE"/>
        </w:rPr>
      </w:pPr>
      <w:r>
        <w:rPr>
          <w:lang w:val="de-DE"/>
        </w:rPr>
        <w:t xml:space="preserve">„Sie [„zivilisierte Menschen“; F.E] können nicht länger mit bloßer Zufriedenheit zufrieden sein; nur durch eigenes </w:t>
      </w:r>
      <w:r w:rsidRPr="009D4EA5">
        <w:rPr>
          <w:i/>
          <w:lang w:val="de-DE"/>
        </w:rPr>
        <w:t>Tun</w:t>
      </w:r>
      <w:r>
        <w:rPr>
          <w:lang w:val="de-DE"/>
        </w:rPr>
        <w:t xml:space="preserve"> können sie Zufriedenheit erlangen. Eben deshalb aber kommen viele seiner Zeitgenossen bei Kant nicht viel besser weg als jene ‚leblosen‘ Karaiben, die ohne Schmerz im Nichtstun zu verharren vermögen.“ (49)</w:t>
      </w:r>
    </w:p>
    <w:p w:rsidR="009D4EA5" w:rsidRDefault="009D4EA5">
      <w:pPr>
        <w:rPr>
          <w:lang w:val="de-DE"/>
        </w:rPr>
      </w:pPr>
      <w:r>
        <w:rPr>
          <w:lang w:val="de-DE"/>
        </w:rPr>
        <w:t xml:space="preserve">„Das entscheidende Stichwort bei Kant lautet in diesem Zusammenhang ‚Arbeit‘. Wo keine Anstrengung im Spiel ist, wo nichts über die Situation Hinausgehendes erstrebt wird, wo sich die Menschen in ihren Tätigkeiten nicht zugleich ‚kultivieren‘, dort liegt kein ‚würdiger Zeitaufwand‘ vor. Es wird damit nicht das Maß an innerer Zufriedenheit erreicht, das erreicht werden könnte: jene Zufriedenheit, die sich aus der Verwirklichung eins Vorhabens, der Bewältigung einer Herausforderung, der tätigen Überwindung des drohenden Sinnverlustes ergibt – jene Zufriedenheit, die ihren Rückhalt in der wach gehaltenen Unzufriedenheit hat.“ (50) </w:t>
      </w:r>
    </w:p>
    <w:p w:rsidR="00C51024" w:rsidRDefault="00C51024">
      <w:pPr>
        <w:rPr>
          <w:lang w:val="de-DE"/>
        </w:rPr>
      </w:pPr>
      <w:r>
        <w:rPr>
          <w:lang w:val="de-DE"/>
        </w:rPr>
        <w:t>„Der Gegenbegriff zu einem trügerischen passiven Lebensgenuss bildet hier [</w:t>
      </w:r>
      <w:r w:rsidRPr="00C51024">
        <w:rPr>
          <w:i/>
          <w:lang w:val="de-DE"/>
        </w:rPr>
        <w:t>Vorlesung zur Moralphilosophie</w:t>
      </w:r>
      <w:r>
        <w:rPr>
          <w:lang w:val="de-DE"/>
        </w:rPr>
        <w:t xml:space="preserve">] ein Gefühl für das eigene Leben, das, wie Kant meint, allein der </w:t>
      </w:r>
      <w:proofErr w:type="spellStart"/>
      <w:r>
        <w:rPr>
          <w:lang w:val="de-DE"/>
        </w:rPr>
        <w:t>vita</w:t>
      </w:r>
      <w:proofErr w:type="spellEnd"/>
      <w:r>
        <w:rPr>
          <w:lang w:val="de-DE"/>
        </w:rPr>
        <w:t xml:space="preserve"> </w:t>
      </w:r>
      <w:proofErr w:type="spellStart"/>
      <w:r>
        <w:rPr>
          <w:lang w:val="de-DE"/>
        </w:rPr>
        <w:t>activa</w:t>
      </w:r>
      <w:proofErr w:type="spellEnd"/>
      <w:r>
        <w:rPr>
          <w:lang w:val="de-DE"/>
        </w:rPr>
        <w:t xml:space="preserve"> entspringen kann.“ (51) </w:t>
      </w:r>
    </w:p>
    <w:p w:rsidR="00C51024" w:rsidRDefault="00C51024">
      <w:pPr>
        <w:rPr>
          <w:lang w:val="de-DE"/>
        </w:rPr>
      </w:pPr>
      <w:r>
        <w:rPr>
          <w:lang w:val="de-DE"/>
        </w:rPr>
        <w:t xml:space="preserve">„ein tätiges </w:t>
      </w:r>
      <w:proofErr w:type="spellStart"/>
      <w:r>
        <w:rPr>
          <w:lang w:val="de-DE"/>
        </w:rPr>
        <w:t>Sicheinlassen</w:t>
      </w:r>
      <w:proofErr w:type="spellEnd"/>
      <w:r>
        <w:rPr>
          <w:lang w:val="de-DE"/>
        </w:rPr>
        <w:t xml:space="preserve"> auf die Welt, das um seiner selbst willen lohnend ist.“ (54) </w:t>
      </w:r>
    </w:p>
    <w:p w:rsidR="009D4EA5" w:rsidRDefault="00C51024">
      <w:pPr>
        <w:rPr>
          <w:lang w:val="de-DE"/>
        </w:rPr>
      </w:pPr>
      <w:r>
        <w:rPr>
          <w:lang w:val="de-DE"/>
        </w:rPr>
        <w:t xml:space="preserve">„Wie auch in seiner ausgearbeiteten Moralphilosophie weist Kant hier darauf hin, dass das Streben nach einem guten Leben der Fähigkeit zum moralisch richtigen Handeln keineswegs entgegensteht. Ja, es erscheint sogar als eine Bedingung hierfür. Denn nur wer sein Leben nicht vertändelt, nur wer in ihm und mit ihm [56] etwas vorhat, wem daran liegt, etwas für sich selbst, aber auch für andere Lohnendes zu vollbringen, und wer damit in der Lage ist, seinem </w:t>
      </w:r>
      <w:r w:rsidRPr="00C51024">
        <w:rPr>
          <w:i/>
          <w:lang w:val="de-DE"/>
        </w:rPr>
        <w:t>Leben</w:t>
      </w:r>
      <w:r>
        <w:rPr>
          <w:lang w:val="de-DE"/>
        </w:rPr>
        <w:t xml:space="preserve"> aus eigener Kraft eine Form zu geben: nur solche Personen werden in der Lage sein, ihren </w:t>
      </w:r>
      <w:r w:rsidRPr="00C51024">
        <w:rPr>
          <w:i/>
          <w:lang w:val="de-DE"/>
        </w:rPr>
        <w:t>Handlungen</w:t>
      </w:r>
      <w:r>
        <w:rPr>
          <w:lang w:val="de-DE"/>
        </w:rPr>
        <w:t xml:space="preserve"> eine Form zu geben, die mit einer Rücksicht auf das </w:t>
      </w:r>
      <w:proofErr w:type="spellStart"/>
      <w:r>
        <w:rPr>
          <w:lang w:val="de-DE"/>
        </w:rPr>
        <w:t>Personsein</w:t>
      </w:r>
      <w:proofErr w:type="spellEnd"/>
      <w:r>
        <w:rPr>
          <w:lang w:val="de-DE"/>
        </w:rPr>
        <w:t xml:space="preserve"> aller Menschen vereinbar ist.“ (55-56) </w:t>
      </w:r>
    </w:p>
    <w:p w:rsidR="00C51024" w:rsidRDefault="00C51024">
      <w:pPr>
        <w:rPr>
          <w:lang w:val="de-DE"/>
        </w:rPr>
      </w:pPr>
      <w:r>
        <w:rPr>
          <w:lang w:val="de-DE"/>
        </w:rPr>
        <w:t>„Das Zerrbild eines übersteigerten Aktivismus löst sich auf. In der Breite seiner spieltheoretischen Analysen hat Kant die Mittel bereit, die manchmal dominante arbeitsethische Deutung seiner Lehre von der ausgefüllten Zeit zu überwinden.</w:t>
      </w:r>
      <w:r w:rsidR="00151D6B">
        <w:rPr>
          <w:lang w:val="de-DE"/>
        </w:rPr>
        <w:t xml:space="preserve"> Es ist nicht das Prinzip Arbeit, das den Lauf </w:t>
      </w:r>
      <w:proofErr w:type="gramStart"/>
      <w:r w:rsidR="00151D6B">
        <w:rPr>
          <w:lang w:val="de-DE"/>
        </w:rPr>
        <w:t>eines Zufriedenheit</w:t>
      </w:r>
      <w:proofErr w:type="gramEnd"/>
      <w:r w:rsidR="00151D6B">
        <w:rPr>
          <w:lang w:val="de-DE"/>
        </w:rPr>
        <w:t xml:space="preserve"> ermöglichenden Lebens beherrscht, sondern vielmehr der Wechsel zwischen Arbeit und Spiel und zwischen diversen Formen sowohl der Arbeit als auch des Spiels.“ (63) </w:t>
      </w:r>
    </w:p>
    <w:p w:rsidR="00840977" w:rsidRDefault="00840977">
      <w:pPr>
        <w:rPr>
          <w:lang w:val="de-DE"/>
        </w:rPr>
      </w:pPr>
      <w:r>
        <w:rPr>
          <w:lang w:val="de-DE"/>
        </w:rPr>
        <w:t xml:space="preserve">„Einem zufrieden stellenden Leben muss daher an der Bewahrung dieses Schmerzes gelegen sein, denn dieser spricht eine Wahrheit über die menschliche Lage aus: Erfüllung wird nur denen zuteil, die sich nicht mit allem zufrieden haben; Erfüllung fällt nur denen zu, die nicht in </w:t>
      </w:r>
      <w:r>
        <w:rPr>
          <w:lang w:val="de-DE"/>
        </w:rPr>
        <w:lastRenderedPageBreak/>
        <w:t xml:space="preserve">ihr zu verharren suchen; zufrieden lebt nur, wer sich mit dem Zufriedensein nicht zufrieden gibt.“ (65) </w:t>
      </w:r>
    </w:p>
    <w:p w:rsidR="00840977" w:rsidRPr="00CC010C" w:rsidRDefault="00840977">
      <w:pPr>
        <w:rPr>
          <w:lang w:val="de-DE"/>
        </w:rPr>
      </w:pPr>
      <w:r>
        <w:rPr>
          <w:lang w:val="de-DE"/>
        </w:rPr>
        <w:t xml:space="preserve">Kritik an Kant: „In dieser Hinsicht, die nun weniger die </w:t>
      </w:r>
      <w:r w:rsidRPr="00840977">
        <w:rPr>
          <w:i/>
          <w:lang w:val="de-DE"/>
        </w:rPr>
        <w:t>Zeit im Leben</w:t>
      </w:r>
      <w:r>
        <w:rPr>
          <w:lang w:val="de-DE"/>
        </w:rPr>
        <w:t xml:space="preserve"> als vielmehr die </w:t>
      </w:r>
      <w:r w:rsidRPr="00840977">
        <w:rPr>
          <w:i/>
          <w:lang w:val="de-DE"/>
        </w:rPr>
        <w:t>Zeit des Lebens</w:t>
      </w:r>
      <w:r>
        <w:rPr>
          <w:lang w:val="de-DE"/>
        </w:rPr>
        <w:t xml:space="preserve"> betrifft, erzeugt die Orientierung an der </w:t>
      </w:r>
      <w:proofErr w:type="spellStart"/>
      <w:r>
        <w:rPr>
          <w:lang w:val="de-DE"/>
        </w:rPr>
        <w:t>vita</w:t>
      </w:r>
      <w:proofErr w:type="spellEnd"/>
      <w:r>
        <w:rPr>
          <w:lang w:val="de-DE"/>
        </w:rPr>
        <w:t xml:space="preserve"> </w:t>
      </w:r>
      <w:proofErr w:type="spellStart"/>
      <w:r>
        <w:rPr>
          <w:lang w:val="de-DE"/>
        </w:rPr>
        <w:t>activa</w:t>
      </w:r>
      <w:proofErr w:type="spellEnd"/>
      <w:r>
        <w:rPr>
          <w:lang w:val="de-DE"/>
        </w:rPr>
        <w:t xml:space="preserve"> ein einseitiges Bild der prozessualen Verfassung eines guten menschlichen Lebens. Sie erzeugt es, weil sie das menschenmögliche Glück zu sehr von den Erfolgen des Handelns her fasst. Sie bleibt an ein Modell der Realisierung von Zwecken gebunden, das allein keine angemessene Explikation einer günstigen Lebensbewegung erlaubt. Denn ein gutes Leben ist kein </w:t>
      </w:r>
      <w:r w:rsidRPr="00840977">
        <w:rPr>
          <w:i/>
          <w:lang w:val="de-DE"/>
        </w:rPr>
        <w:t>Erzeugnis</w:t>
      </w:r>
      <w:r>
        <w:rPr>
          <w:lang w:val="de-DE"/>
        </w:rPr>
        <w:t xml:space="preserve"> sinnvoller Aktivität, es ist ein </w:t>
      </w:r>
      <w:r w:rsidRPr="00840977">
        <w:rPr>
          <w:i/>
          <w:lang w:val="de-DE"/>
        </w:rPr>
        <w:t>Ereignis</w:t>
      </w:r>
      <w:r>
        <w:rPr>
          <w:lang w:val="de-DE"/>
        </w:rPr>
        <w:t>, das sich im Zuge dieser Aktivitäten einstellen kann.“ (66)</w:t>
      </w:r>
    </w:p>
    <w:sectPr w:rsidR="00840977" w:rsidRPr="00CC010C"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10C"/>
    <w:rsid w:val="001231ED"/>
    <w:rsid w:val="00151D6B"/>
    <w:rsid w:val="00395CDE"/>
    <w:rsid w:val="0055526E"/>
    <w:rsid w:val="00635244"/>
    <w:rsid w:val="006E0AF6"/>
    <w:rsid w:val="00756C9A"/>
    <w:rsid w:val="00840977"/>
    <w:rsid w:val="009D4EA5"/>
    <w:rsid w:val="00C51024"/>
    <w:rsid w:val="00CC01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73FA4C9"/>
  <w14:defaultImageDpi w14:val="32767"/>
  <w15:chartTrackingRefBased/>
  <w15:docId w15:val="{DF28AC44-F3B3-D641-A342-3F8A708C3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637</Words>
  <Characters>3634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3</cp:revision>
  <dcterms:created xsi:type="dcterms:W3CDTF">2019-12-30T22:45:00Z</dcterms:created>
  <dcterms:modified xsi:type="dcterms:W3CDTF">2019-12-31T13:21:00Z</dcterms:modified>
</cp:coreProperties>
</file>