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D2716" w:rsidRDefault="00BD2716">
      <w:pPr>
        <w:rPr>
          <w:b/>
          <w:lang w:val="de-DE"/>
        </w:rPr>
      </w:pPr>
      <w:bookmarkStart w:id="0" w:name="_GoBack"/>
      <w:r w:rsidRPr="00BD2716">
        <w:rPr>
          <w:b/>
          <w:lang w:val="de-DE"/>
        </w:rPr>
        <w:t xml:space="preserve">Hermann Schwarz: Fichte und wir. 6 Vorlesungen gehalten 2.-7. Oktober 1916 auf der Lauterberger Weltanschauungswoche. </w:t>
      </w:r>
      <w:proofErr w:type="spellStart"/>
      <w:r w:rsidRPr="00BD2716">
        <w:rPr>
          <w:b/>
          <w:lang w:val="de-DE"/>
        </w:rPr>
        <w:t>Osterwieck</w:t>
      </w:r>
      <w:proofErr w:type="spellEnd"/>
      <w:r w:rsidRPr="00BD2716">
        <w:rPr>
          <w:b/>
          <w:lang w:val="de-DE"/>
        </w:rPr>
        <w:t xml:space="preserve">-Harz: </w:t>
      </w:r>
      <w:proofErr w:type="spellStart"/>
      <w:r w:rsidRPr="00BD2716">
        <w:rPr>
          <w:b/>
          <w:lang w:val="de-DE"/>
        </w:rPr>
        <w:t>Zickfeldt</w:t>
      </w:r>
      <w:proofErr w:type="spellEnd"/>
      <w:r w:rsidRPr="00BD2716">
        <w:rPr>
          <w:b/>
          <w:lang w:val="de-DE"/>
        </w:rPr>
        <w:t xml:space="preserve">, 1917. </w:t>
      </w:r>
    </w:p>
    <w:bookmarkEnd w:id="0"/>
    <w:p w:rsidR="006F6854" w:rsidRPr="00BD2716" w:rsidRDefault="006F6854">
      <w:pPr>
        <w:rPr>
          <w:lang w:val="de-DE"/>
        </w:rPr>
      </w:pPr>
    </w:p>
    <w:p w:rsidR="006F6854" w:rsidRDefault="006F6854">
      <w:pPr>
        <w:rPr>
          <w:lang w:val="de-DE"/>
        </w:rPr>
      </w:pPr>
      <w:r w:rsidRPr="006F6854">
        <w:rPr>
          <w:lang w:val="de-DE"/>
        </w:rPr>
        <w:t xml:space="preserve">“Vergleichen </w:t>
      </w:r>
      <w:proofErr w:type="spellStart"/>
      <w:r>
        <w:rPr>
          <w:lang w:val="de-DE"/>
        </w:rPr>
        <w:t>läßt</w:t>
      </w:r>
      <w:proofErr w:type="spellEnd"/>
      <w:r>
        <w:rPr>
          <w:lang w:val="de-DE"/>
        </w:rPr>
        <w:t xml:space="preserve"> sich diesem deutschen Geiste am meisten derjenige des hellenischen Altertums. Aber letzterer hatte nicht die Fähigkeit, sich aus der Tiefe, in die er schaute, mit Tatgedanken für die Lebensarbeit zu beleben. Er sank in mystische Abgründe. Griechenland war das Land der Dichter und Denker. Diese waren und blieben nur Träumer. Sie haben nicht vermocht, unter ihren Volksgenossen aus der Tiefe ihres Geschauten ein Feuer anzuzünden, eine Gesinnung zu entflammen, die sie fähig gemacht hätte, das Joch der römischen Fremdherrschaft abzuschütteln.“ (1) </w:t>
      </w:r>
    </w:p>
    <w:p w:rsidR="006F6854" w:rsidRDefault="006F6854">
      <w:pPr>
        <w:rPr>
          <w:lang w:val="de-DE"/>
        </w:rPr>
      </w:pPr>
      <w:r>
        <w:rPr>
          <w:lang w:val="de-DE"/>
        </w:rPr>
        <w:t xml:space="preserve">„Fichtes Religion des freudigen Rechttuns </w:t>
      </w:r>
      <w:proofErr w:type="spellStart"/>
      <w:r>
        <w:rPr>
          <w:lang w:val="de-DE"/>
        </w:rPr>
        <w:t>läßt</w:t>
      </w:r>
      <w:proofErr w:type="spellEnd"/>
      <w:r>
        <w:rPr>
          <w:lang w:val="de-DE"/>
        </w:rPr>
        <w:t xml:space="preserve"> uns an die </w:t>
      </w:r>
      <w:proofErr w:type="spellStart"/>
      <w:r>
        <w:rPr>
          <w:lang w:val="de-DE"/>
        </w:rPr>
        <w:t>Urm</w:t>
      </w:r>
      <w:r w:rsidR="00BD2716">
        <w:rPr>
          <w:lang w:val="de-DE"/>
        </w:rPr>
        <w:t>acht</w:t>
      </w:r>
      <w:proofErr w:type="spellEnd"/>
      <w:r w:rsidR="00BD2716">
        <w:rPr>
          <w:lang w:val="de-DE"/>
        </w:rPr>
        <w:t xml:space="preserve">, an die einzigartige und unvergleichlich weltüberlegene Kraft des geistigen Lebens </w:t>
      </w:r>
      <w:r w:rsidR="00BD2716" w:rsidRPr="00BD2716">
        <w:rPr>
          <w:i/>
          <w:lang w:val="de-DE"/>
        </w:rPr>
        <w:t>glauben</w:t>
      </w:r>
      <w:r w:rsidR="00BD2716">
        <w:rPr>
          <w:lang w:val="de-DE"/>
        </w:rPr>
        <w:t xml:space="preserve">, wenn sie auch nicht einen </w:t>
      </w:r>
      <w:proofErr w:type="spellStart"/>
      <w:r w:rsidR="00BD2716">
        <w:rPr>
          <w:lang w:val="de-DE"/>
        </w:rPr>
        <w:t>bewußtseinstranszendenten</w:t>
      </w:r>
      <w:proofErr w:type="spellEnd"/>
      <w:r w:rsidR="00BD2716">
        <w:rPr>
          <w:lang w:val="de-DE"/>
        </w:rPr>
        <w:t xml:space="preserve"> persönlichen Gott lehrt.“ (87)</w:t>
      </w:r>
    </w:p>
    <w:p w:rsidR="00BD2716" w:rsidRDefault="00BD2716">
      <w:pPr>
        <w:rPr>
          <w:lang w:val="de-DE"/>
        </w:rPr>
      </w:pPr>
      <w:r>
        <w:rPr>
          <w:lang w:val="de-DE"/>
        </w:rPr>
        <w:t>„Der Mensch, dessen Leben ergriffen ist, von dem Wahrhaftigen und Leben unmittelbar aus Gott geworden ist, hat das Gesicht der Selb</w:t>
      </w:r>
      <w:r w:rsidRPr="00BD2716">
        <w:rPr>
          <w:i/>
          <w:lang w:val="de-DE"/>
        </w:rPr>
        <w:t>ständigkeit</w:t>
      </w:r>
      <w:r>
        <w:rPr>
          <w:lang w:val="de-DE"/>
        </w:rPr>
        <w:t xml:space="preserve"> aus der Geisterwelt, und doch ist seine natürliche Selbst</w:t>
      </w:r>
      <w:r w:rsidRPr="00BD2716">
        <w:rPr>
          <w:i/>
          <w:lang w:val="de-DE"/>
        </w:rPr>
        <w:t>sucht</w:t>
      </w:r>
      <w:r>
        <w:rPr>
          <w:lang w:val="de-DE"/>
        </w:rPr>
        <w:t xml:space="preserve"> ausgeschaltet. Er </w:t>
      </w:r>
      <w:proofErr w:type="gramStart"/>
      <w:r>
        <w:rPr>
          <w:lang w:val="de-DE"/>
        </w:rPr>
        <w:t>tatet</w:t>
      </w:r>
      <w:proofErr w:type="gramEnd"/>
      <w:r>
        <w:rPr>
          <w:lang w:val="de-DE"/>
        </w:rPr>
        <w:t xml:space="preserve"> und handelt mit den Kräften überegoistischer Werte, die ihn erfüllen.“ (110)</w:t>
      </w:r>
    </w:p>
    <w:p w:rsidR="00BD2716" w:rsidRPr="006F6854" w:rsidRDefault="00BD2716">
      <w:pPr>
        <w:rPr>
          <w:lang w:val="de-DE"/>
        </w:rPr>
      </w:pPr>
      <w:r>
        <w:rPr>
          <w:lang w:val="de-DE"/>
        </w:rPr>
        <w:t xml:space="preserve">„Bleiben wir tätige lebendige Energien, und immer von innen erneuernd im Atem geistig-sittlicher Selbstsetzung (wie </w:t>
      </w:r>
      <w:proofErr w:type="spellStart"/>
      <w:r>
        <w:rPr>
          <w:lang w:val="de-DE"/>
        </w:rPr>
        <w:t>Antäus</w:t>
      </w:r>
      <w:proofErr w:type="spellEnd"/>
      <w:r>
        <w:rPr>
          <w:lang w:val="de-DE"/>
        </w:rPr>
        <w:t xml:space="preserve"> nach der Sage aus der Berührung mit dem Mutterboden), immer wieder uns belebend aus der Idee, vor allem aus der Idee des uns von Fichte gezeichneten Deutschtums, so wird einst, nein schon nächstens, das größere Deutschland nicht nur politisch, sondern geistig das Salz der Erde sein.“ (111)</w:t>
      </w:r>
    </w:p>
    <w:sectPr w:rsidR="00BD2716" w:rsidRPr="006F6854"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854"/>
    <w:rsid w:val="001231ED"/>
    <w:rsid w:val="00395CDE"/>
    <w:rsid w:val="0055526E"/>
    <w:rsid w:val="00635244"/>
    <w:rsid w:val="006E0AF6"/>
    <w:rsid w:val="006F6854"/>
    <w:rsid w:val="00BD2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580719A3-251B-B84B-9C39-FF2B30BD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2018-10-10T11:01:00Z</dcterms:created>
  <dcterms:modified xsi:type="dcterms:W3CDTF">2018-10-10T11:22:00Z</dcterms:modified>
</cp:coreProperties>
</file>