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B86" w:rsidRPr="00630B86" w:rsidRDefault="00630B86" w:rsidP="00630B86">
      <w:pPr>
        <w:spacing w:line="360" w:lineRule="auto"/>
        <w:rPr>
          <w:rFonts w:ascii="Code2000" w:hAnsi="Code2000"/>
          <w:b/>
          <w:lang w:val="de-DE"/>
        </w:rPr>
      </w:pPr>
      <w:r w:rsidRPr="00630B86">
        <w:rPr>
          <w:rFonts w:ascii="Code2000" w:hAnsi="Code2000"/>
          <w:b/>
          <w:lang w:val="de-DE"/>
        </w:rPr>
        <w:t xml:space="preserve">Joh. Sauter: Die altchinesische Metaphysik und ihre Verbundenheit mit der </w:t>
      </w:r>
      <w:proofErr w:type="spellStart"/>
      <w:r w:rsidRPr="00630B86">
        <w:rPr>
          <w:rFonts w:ascii="Code2000" w:hAnsi="Code2000"/>
          <w:b/>
          <w:lang w:val="de-DE"/>
        </w:rPr>
        <w:t>abendländischen</w:t>
      </w:r>
      <w:proofErr w:type="spellEnd"/>
      <w:r w:rsidRPr="00630B86">
        <w:rPr>
          <w:rFonts w:ascii="Code2000" w:hAnsi="Code2000"/>
          <w:b/>
          <w:lang w:val="de-DE"/>
        </w:rPr>
        <w:t xml:space="preserve">, Archiv </w:t>
      </w:r>
      <w:proofErr w:type="spellStart"/>
      <w:r w:rsidRPr="00630B86">
        <w:rPr>
          <w:rFonts w:ascii="Code2000" w:hAnsi="Code2000"/>
          <w:b/>
          <w:lang w:val="de-DE"/>
        </w:rPr>
        <w:t>für</w:t>
      </w:r>
      <w:proofErr w:type="spellEnd"/>
      <w:r w:rsidRPr="00630B86">
        <w:rPr>
          <w:rFonts w:ascii="Code2000" w:hAnsi="Code2000"/>
          <w:b/>
          <w:lang w:val="de-DE"/>
        </w:rPr>
        <w:t xml:space="preserve"> Rechts- und Sozialphilosophie, Vol. 28, </w:t>
      </w:r>
      <w:proofErr w:type="spellStart"/>
      <w:r w:rsidRPr="00630B86">
        <w:rPr>
          <w:rFonts w:ascii="Code2000" w:hAnsi="Code2000"/>
          <w:b/>
          <w:lang w:val="de-DE"/>
        </w:rPr>
        <w:t>No</w:t>
      </w:r>
      <w:proofErr w:type="spellEnd"/>
      <w:r w:rsidRPr="00630B86">
        <w:rPr>
          <w:rFonts w:ascii="Code2000" w:hAnsi="Code2000"/>
          <w:b/>
          <w:lang w:val="de-DE"/>
        </w:rPr>
        <w:t>. 1 (1934/35), pp. 89-105</w:t>
      </w:r>
      <w:r w:rsidRPr="00630B86">
        <w:rPr>
          <w:rFonts w:ascii="Code2000" w:hAnsi="Code2000"/>
          <w:b/>
          <w:lang w:val="de-DE"/>
        </w:rPr>
        <w:t>.</w:t>
      </w:r>
    </w:p>
    <w:p w:rsidR="00630B86" w:rsidRDefault="00630B86" w:rsidP="00630B86">
      <w:pPr>
        <w:spacing w:line="360" w:lineRule="auto"/>
        <w:rPr>
          <w:rFonts w:ascii="Code2000" w:hAnsi="Code2000"/>
          <w:lang w:val="de-DE"/>
        </w:rPr>
      </w:pPr>
    </w:p>
    <w:p w:rsidR="00630B86" w:rsidRPr="00630B86" w:rsidRDefault="00630B86" w:rsidP="00630B86">
      <w:pPr>
        <w:spacing w:line="360" w:lineRule="auto"/>
        <w:rPr>
          <w:lang w:val="de-DE"/>
        </w:rPr>
      </w:pPr>
      <w:r>
        <w:rPr>
          <w:rFonts w:ascii="Code2000" w:hAnsi="Code2000"/>
          <w:lang w:val="de-DE"/>
        </w:rPr>
        <w:t xml:space="preserve">„Dieses ‚Nichthandeln‘ ist nichts anderes als eine Bestimmung per </w:t>
      </w:r>
      <w:proofErr w:type="spellStart"/>
      <w:r>
        <w:rPr>
          <w:rFonts w:ascii="Code2000" w:hAnsi="Code2000"/>
          <w:lang w:val="de-DE"/>
        </w:rPr>
        <w:t>exclusionem</w:t>
      </w:r>
      <w:proofErr w:type="spellEnd"/>
      <w:r>
        <w:rPr>
          <w:rFonts w:ascii="Code2000" w:hAnsi="Code2000"/>
          <w:lang w:val="de-DE"/>
        </w:rPr>
        <w:t xml:space="preserve"> oder ‚via </w:t>
      </w:r>
      <w:proofErr w:type="spellStart"/>
      <w:r>
        <w:rPr>
          <w:rFonts w:ascii="Code2000" w:hAnsi="Code2000"/>
          <w:lang w:val="de-DE"/>
        </w:rPr>
        <w:t>negationis</w:t>
      </w:r>
      <w:proofErr w:type="spellEnd"/>
      <w:r>
        <w:rPr>
          <w:rFonts w:ascii="Code2000" w:hAnsi="Code2000"/>
          <w:lang w:val="de-DE"/>
        </w:rPr>
        <w:t>‘. Vom göttlichen Handeln will er sagen, müssen wir alle Vorstellungen, die wir vom menschlichen Handeln haben, ausschließen.“</w:t>
      </w:r>
      <w:r>
        <w:rPr>
          <w:rFonts w:ascii="Code2000" w:hAnsi="Code2000"/>
          <w:lang w:val="de-DE"/>
        </w:rPr>
        <w:t xml:space="preserve"> (99)</w:t>
      </w:r>
      <w:bookmarkStart w:id="0" w:name="_GoBack"/>
      <w:bookmarkEnd w:id="0"/>
    </w:p>
    <w:p w:rsidR="006A41F3" w:rsidRPr="00630B86" w:rsidRDefault="00D61746">
      <w:pPr>
        <w:rPr>
          <w:lang w:val="de-DE"/>
        </w:rPr>
      </w:pPr>
    </w:p>
    <w:sectPr w:rsidR="006A41F3" w:rsidRPr="00630B86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746" w:rsidRDefault="00D61746" w:rsidP="00630B86">
      <w:r>
        <w:separator/>
      </w:r>
    </w:p>
  </w:endnote>
  <w:endnote w:type="continuationSeparator" w:id="0">
    <w:p w:rsidR="00D61746" w:rsidRDefault="00D61746" w:rsidP="00630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de2000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746" w:rsidRDefault="00D61746" w:rsidP="00630B86">
      <w:r>
        <w:separator/>
      </w:r>
    </w:p>
  </w:footnote>
  <w:footnote w:type="continuationSeparator" w:id="0">
    <w:p w:rsidR="00D61746" w:rsidRDefault="00D61746" w:rsidP="00630B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B86"/>
    <w:rsid w:val="001231ED"/>
    <w:rsid w:val="00395CDE"/>
    <w:rsid w:val="0055526E"/>
    <w:rsid w:val="00630B86"/>
    <w:rsid w:val="00635244"/>
    <w:rsid w:val="006E0AF6"/>
    <w:rsid w:val="00D6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7B86D215-C091-7247-8E35-3ECA2B74C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30B86"/>
    <w:rPr>
      <w:rFonts w:ascii="Times New Roman" w:eastAsia="Times New Roman" w:hAnsi="Times New Roman" w:cs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30B86"/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0B8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0B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2021-06-13T12:37:00Z</dcterms:created>
  <dcterms:modified xsi:type="dcterms:W3CDTF">2021-06-13T12:48:00Z</dcterms:modified>
</cp:coreProperties>
</file>