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3E74FC" w:rsidRDefault="003E74FC">
      <w:pPr>
        <w:rPr>
          <w:b/>
          <w:lang w:val="de-DE"/>
        </w:rPr>
      </w:pPr>
      <w:r w:rsidRPr="003E74FC">
        <w:rPr>
          <w:b/>
          <w:lang w:val="de-DE"/>
        </w:rPr>
        <w:t xml:space="preserve">Hannelore Rausch: </w:t>
      </w:r>
      <w:proofErr w:type="spellStart"/>
      <w:r w:rsidRPr="003E74FC">
        <w:rPr>
          <w:b/>
          <w:lang w:val="de-DE"/>
        </w:rPr>
        <w:t>Theoria</w:t>
      </w:r>
      <w:proofErr w:type="spellEnd"/>
      <w:r w:rsidRPr="003E74FC">
        <w:rPr>
          <w:b/>
          <w:lang w:val="de-DE"/>
        </w:rPr>
        <w:t xml:space="preserve">. Von ihrer sakralen zur philosophischen Bedeutung. München: Fink, 1982. </w:t>
      </w:r>
    </w:p>
    <w:p w:rsidR="003E74FC" w:rsidRDefault="003E74FC">
      <w:pPr>
        <w:rPr>
          <w:lang w:val="de-DE"/>
        </w:rPr>
      </w:pPr>
    </w:p>
    <w:p w:rsidR="003E74FC" w:rsidRDefault="003E74FC">
      <w:pPr>
        <w:rPr>
          <w:lang w:val="de-DE"/>
        </w:rPr>
      </w:pPr>
      <w:r>
        <w:rPr>
          <w:lang w:val="de-DE"/>
        </w:rPr>
        <w:t>„</w:t>
      </w:r>
      <w:proofErr w:type="spellStart"/>
      <w:r>
        <w:rPr>
          <w:lang w:val="de-DE"/>
        </w:rPr>
        <w:t>daß</w:t>
      </w:r>
      <w:proofErr w:type="spellEnd"/>
      <w:r>
        <w:rPr>
          <w:lang w:val="de-DE"/>
        </w:rPr>
        <w:t xml:space="preserve"> er [Aristoteles; F.E.] den Begriff der Theorie mit dem der Wissenschaft (</w:t>
      </w:r>
      <w:proofErr w:type="spellStart"/>
      <w:r>
        <w:rPr>
          <w:lang w:val="de-DE"/>
        </w:rPr>
        <w:t>episteme</w:t>
      </w:r>
      <w:proofErr w:type="spellEnd"/>
      <w:r>
        <w:rPr>
          <w:lang w:val="de-DE"/>
        </w:rPr>
        <w:t>) verbindet, indem er von den auf das Handeln (</w:t>
      </w:r>
      <w:proofErr w:type="spellStart"/>
      <w:r>
        <w:rPr>
          <w:lang w:val="de-DE"/>
        </w:rPr>
        <w:t>praktike</w:t>
      </w:r>
      <w:proofErr w:type="spellEnd"/>
      <w:r>
        <w:rPr>
          <w:lang w:val="de-DE"/>
        </w:rPr>
        <w:t>) und den auf das Hervorbringen (</w:t>
      </w:r>
      <w:proofErr w:type="spellStart"/>
      <w:r>
        <w:rPr>
          <w:lang w:val="de-DE"/>
        </w:rPr>
        <w:t>poietike</w:t>
      </w:r>
      <w:proofErr w:type="spellEnd"/>
      <w:r>
        <w:rPr>
          <w:lang w:val="de-DE"/>
        </w:rPr>
        <w:t>) gerichteten Wissenschaften die betrachtende (</w:t>
      </w:r>
      <w:proofErr w:type="spellStart"/>
      <w:r>
        <w:rPr>
          <w:lang w:val="de-DE"/>
        </w:rPr>
        <w:t>theoretike</w:t>
      </w:r>
      <w:proofErr w:type="spellEnd"/>
      <w:r>
        <w:rPr>
          <w:lang w:val="de-DE"/>
        </w:rPr>
        <w:t>) Wissenschaft unterscheidet.“ (143)</w:t>
      </w:r>
    </w:p>
    <w:p w:rsidR="003E74FC" w:rsidRDefault="003E74FC">
      <w:pPr>
        <w:rPr>
          <w:lang w:val="de-DE"/>
        </w:rPr>
      </w:pPr>
      <w:r>
        <w:rPr>
          <w:lang w:val="de-DE"/>
        </w:rPr>
        <w:t xml:space="preserve">„Die Definition des Wissens als Kenntnis der Ursache führt zur Differenzierung verschiedener Wissensgrade.“ (143) </w:t>
      </w:r>
    </w:p>
    <w:p w:rsidR="003E74FC" w:rsidRDefault="003E74FC">
      <w:pPr>
        <w:rPr>
          <w:lang w:val="de-DE"/>
        </w:rPr>
      </w:pPr>
      <w:r>
        <w:rPr>
          <w:lang w:val="de-DE"/>
        </w:rPr>
        <w:t xml:space="preserve">„Demnach sind </w:t>
      </w:r>
      <w:proofErr w:type="spellStart"/>
      <w:r>
        <w:rPr>
          <w:lang w:val="de-DE"/>
        </w:rPr>
        <w:t>Aisthesis</w:t>
      </w:r>
      <w:proofErr w:type="spellEnd"/>
      <w:r>
        <w:rPr>
          <w:lang w:val="de-DE"/>
        </w:rPr>
        <w:t xml:space="preserve">, </w:t>
      </w:r>
      <w:proofErr w:type="spellStart"/>
      <w:r>
        <w:rPr>
          <w:lang w:val="de-DE"/>
        </w:rPr>
        <w:t>Empeiria</w:t>
      </w:r>
      <w:proofErr w:type="spellEnd"/>
      <w:r>
        <w:rPr>
          <w:lang w:val="de-DE"/>
        </w:rPr>
        <w:t xml:space="preserve">, </w:t>
      </w:r>
      <w:proofErr w:type="spellStart"/>
      <w:r>
        <w:rPr>
          <w:lang w:val="de-DE"/>
        </w:rPr>
        <w:t>Techne</w:t>
      </w:r>
      <w:proofErr w:type="spellEnd"/>
      <w:r>
        <w:rPr>
          <w:lang w:val="de-DE"/>
        </w:rPr>
        <w:t xml:space="preserve">, </w:t>
      </w:r>
      <w:proofErr w:type="spellStart"/>
      <w:r>
        <w:rPr>
          <w:lang w:val="de-DE"/>
        </w:rPr>
        <w:t>poietische</w:t>
      </w:r>
      <w:proofErr w:type="spellEnd"/>
      <w:r>
        <w:rPr>
          <w:lang w:val="de-DE"/>
        </w:rPr>
        <w:t xml:space="preserve"> (und praktische) </w:t>
      </w:r>
      <w:proofErr w:type="spellStart"/>
      <w:r>
        <w:rPr>
          <w:lang w:val="de-DE"/>
        </w:rPr>
        <w:t>Episteme</w:t>
      </w:r>
      <w:proofErr w:type="spellEnd"/>
      <w:r>
        <w:rPr>
          <w:lang w:val="de-DE"/>
        </w:rPr>
        <w:t xml:space="preserve"> Stufen des Wissens und der Weisheit, die in der theoretischen </w:t>
      </w:r>
      <w:proofErr w:type="spellStart"/>
      <w:r>
        <w:rPr>
          <w:lang w:val="de-DE"/>
        </w:rPr>
        <w:t>Episteme</w:t>
      </w:r>
      <w:proofErr w:type="spellEnd"/>
      <w:r>
        <w:rPr>
          <w:lang w:val="de-DE"/>
        </w:rPr>
        <w:t xml:space="preserve"> als der vollendeten Sophia ihren höchsten Rang erreicht.“ (144)</w:t>
      </w:r>
    </w:p>
    <w:p w:rsidR="003E74FC" w:rsidRDefault="003E74FC">
      <w:pPr>
        <w:rPr>
          <w:lang w:val="de-DE"/>
        </w:rPr>
      </w:pPr>
      <w:r>
        <w:rPr>
          <w:lang w:val="de-DE"/>
        </w:rPr>
        <w:t>„Sie sind das Allgemeine (</w:t>
      </w:r>
      <w:proofErr w:type="spellStart"/>
      <w:r>
        <w:rPr>
          <w:lang w:val="de-DE"/>
        </w:rPr>
        <w:t>katholon</w:t>
      </w:r>
      <w:proofErr w:type="spellEnd"/>
      <w:r>
        <w:rPr>
          <w:lang w:val="de-DE"/>
        </w:rPr>
        <w:t>), durch das man alles Untergeordnete (</w:t>
      </w:r>
      <w:proofErr w:type="spellStart"/>
      <w:r>
        <w:rPr>
          <w:lang w:val="de-DE"/>
        </w:rPr>
        <w:t>hypokeimena</w:t>
      </w:r>
      <w:proofErr w:type="spellEnd"/>
      <w:r>
        <w:rPr>
          <w:lang w:val="de-DE"/>
        </w:rPr>
        <w:t xml:space="preserve">) weiß.“ (144) </w:t>
      </w:r>
    </w:p>
    <w:p w:rsidR="003E74FC" w:rsidRDefault="003E74FC">
      <w:pPr>
        <w:rPr>
          <w:lang w:val="de-DE"/>
        </w:rPr>
      </w:pPr>
      <w:r>
        <w:rPr>
          <w:lang w:val="de-DE"/>
        </w:rPr>
        <w:t>„[…] Sophia als betrachtende Wissenschaft der ersten Ursachen und Prinzipien.“ (145)</w:t>
      </w:r>
    </w:p>
    <w:p w:rsidR="003E74FC" w:rsidRDefault="003E74FC">
      <w:pPr>
        <w:rPr>
          <w:lang w:val="de-DE"/>
        </w:rPr>
      </w:pPr>
      <w:r>
        <w:rPr>
          <w:lang w:val="de-DE"/>
        </w:rPr>
        <w:t>„Göttlich aber kann sie nur in zwiefachem Sinne sein; denn einmal ist die Wissenschaft göttlich (</w:t>
      </w:r>
      <w:proofErr w:type="spellStart"/>
      <w:r>
        <w:rPr>
          <w:lang w:val="de-DE"/>
        </w:rPr>
        <w:t>theia</w:t>
      </w:r>
      <w:proofErr w:type="spellEnd"/>
      <w:r>
        <w:rPr>
          <w:lang w:val="de-DE"/>
        </w:rPr>
        <w:t xml:space="preserve">), welche der Gott am meisten haben mag, und dann die, welche das Göttliche zum Gegenstand hat (ton </w:t>
      </w:r>
      <w:proofErr w:type="spellStart"/>
      <w:r>
        <w:rPr>
          <w:lang w:val="de-DE"/>
        </w:rPr>
        <w:t>theion</w:t>
      </w:r>
      <w:proofErr w:type="spellEnd"/>
      <w:r>
        <w:rPr>
          <w:lang w:val="de-DE"/>
        </w:rPr>
        <w:t xml:space="preserve">).“ (147) </w:t>
      </w:r>
    </w:p>
    <w:p w:rsidR="003E74FC" w:rsidRDefault="003E74FC">
      <w:pPr>
        <w:rPr>
          <w:lang w:val="de-DE"/>
        </w:rPr>
      </w:pPr>
      <w:r>
        <w:rPr>
          <w:lang w:val="de-DE"/>
        </w:rPr>
        <w:t>„</w:t>
      </w:r>
      <w:proofErr w:type="spellStart"/>
      <w:r>
        <w:rPr>
          <w:lang w:val="de-DE"/>
        </w:rPr>
        <w:t>Theoria</w:t>
      </w:r>
      <w:proofErr w:type="spellEnd"/>
      <w:r>
        <w:rPr>
          <w:lang w:val="de-DE"/>
        </w:rPr>
        <w:t xml:space="preserve"> ist Anschauung des Göttlichen.“ (148) </w:t>
      </w:r>
    </w:p>
    <w:p w:rsidR="003E74FC" w:rsidRDefault="003E74FC">
      <w:pPr>
        <w:rPr>
          <w:lang w:val="de-DE"/>
        </w:rPr>
      </w:pPr>
      <w:r>
        <w:rPr>
          <w:lang w:val="de-DE"/>
        </w:rPr>
        <w:t>„Nicht jede Wissenschaft ist Theorie, sondern nur diejenige, die frei ist und sich auf das Göttliche richtet.“ (149)</w:t>
      </w:r>
    </w:p>
    <w:p w:rsidR="003E74FC" w:rsidRDefault="003E74FC">
      <w:pPr>
        <w:rPr>
          <w:lang w:val="de-DE"/>
        </w:rPr>
      </w:pPr>
      <w:r>
        <w:rPr>
          <w:lang w:val="de-DE"/>
        </w:rPr>
        <w:t xml:space="preserve">„Die Philosophie ist Erhebung zum Ganzen.“ (150) </w:t>
      </w:r>
    </w:p>
    <w:p w:rsidR="003E74FC" w:rsidRDefault="003E74FC">
      <w:pPr>
        <w:rPr>
          <w:lang w:val="de-DE"/>
        </w:rPr>
      </w:pPr>
      <w:r>
        <w:rPr>
          <w:lang w:val="de-DE"/>
        </w:rPr>
        <w:t xml:space="preserve">„Die philosophische Wissenschaft ist theoretisch, wenn sie sich im Anschauen, Betrachten und genauen Zusehen den Dingen zuwendet, um ihr Wesen aus ihren göttlichen Ursachen und Gründen zu begreifen.“ (151) </w:t>
      </w:r>
    </w:p>
    <w:p w:rsidR="00E97FD7" w:rsidRDefault="00E97FD7">
      <w:pPr>
        <w:rPr>
          <w:lang w:val="de-DE"/>
        </w:rPr>
      </w:pPr>
      <w:r>
        <w:rPr>
          <w:lang w:val="de-DE"/>
        </w:rPr>
        <w:t xml:space="preserve">„Die Betrachtung der Wesenheit bezeichnet er daher als die erste und einzige Aufgabe der Philosophie. Sie ist Theorie, die sich auf das Sein richtet, insofern es in den Dingen gegenwärtig ist. Die Philosophie als Wissenschaft vom Seienden als Sein und Wesenheit wird so zur ranghöchsten fundamentalen Wissenschaft.“ (155) </w:t>
      </w:r>
    </w:p>
    <w:p w:rsidR="00743138" w:rsidRDefault="00743138">
      <w:pPr>
        <w:rPr>
          <w:lang w:val="de-DE"/>
        </w:rPr>
      </w:pPr>
      <w:r>
        <w:rPr>
          <w:lang w:val="de-DE"/>
        </w:rPr>
        <w:t xml:space="preserve">„so entspricht die Rangordnung innerhalb der theoretischen Wissenschaften [Mathematik, </w:t>
      </w:r>
      <w:proofErr w:type="spellStart"/>
      <w:r>
        <w:rPr>
          <w:lang w:val="de-DE"/>
        </w:rPr>
        <w:t>Phystik</w:t>
      </w:r>
      <w:proofErr w:type="spellEnd"/>
      <w:r>
        <w:rPr>
          <w:lang w:val="de-DE"/>
        </w:rPr>
        <w:t xml:space="preserve">, Theologie; F.E.] einer Rangordnung der Gegenstände des Wissens. Die Kriterien für diese Rangordnung sind in erster Linie Trennbarkeit und Unbeweglichkeit der Wesenheiten.“ (157) </w:t>
      </w:r>
    </w:p>
    <w:p w:rsidR="00743138" w:rsidRDefault="00743138">
      <w:pPr>
        <w:rPr>
          <w:lang w:val="de-DE"/>
        </w:rPr>
      </w:pPr>
      <w:r>
        <w:rPr>
          <w:lang w:val="de-DE"/>
        </w:rPr>
        <w:t xml:space="preserve">„‘Neben dieser alternativen Wahrheit aber gibt es noch eine andere Wahrheit, für die es den Gegensatz der Falschheit nicht gibt‘. Sie ereignet sich in einer ihre Gegenstände unmittelbar erfassenden Erkenntnisform, dem noetischen Denken.“ (165) </w:t>
      </w:r>
    </w:p>
    <w:p w:rsidR="00743138" w:rsidRDefault="00743138">
      <w:pPr>
        <w:rPr>
          <w:lang w:val="de-DE"/>
        </w:rPr>
      </w:pPr>
      <w:r>
        <w:rPr>
          <w:lang w:val="de-DE"/>
        </w:rPr>
        <w:t xml:space="preserve">„Die Unmittelbarkeit der </w:t>
      </w:r>
      <w:proofErr w:type="spellStart"/>
      <w:r>
        <w:rPr>
          <w:lang w:val="de-DE"/>
        </w:rPr>
        <w:t>Aisthesis</w:t>
      </w:r>
      <w:proofErr w:type="spellEnd"/>
      <w:r>
        <w:rPr>
          <w:lang w:val="de-DE"/>
        </w:rPr>
        <w:t xml:space="preserve"> entspricht im sinnlichen Bereich der Unmittelbarkeit des </w:t>
      </w:r>
      <w:proofErr w:type="spellStart"/>
      <w:r>
        <w:rPr>
          <w:lang w:val="de-DE"/>
        </w:rPr>
        <w:t>noein</w:t>
      </w:r>
      <w:proofErr w:type="spellEnd"/>
      <w:r>
        <w:rPr>
          <w:lang w:val="de-DE"/>
        </w:rPr>
        <w:t xml:space="preserve">. Dieses ist das einfache Vernehmen des Seins als solchem und daher im reinsten und ursprünglichsten Sinne wahr. […] Wichtig ist, </w:t>
      </w:r>
      <w:proofErr w:type="spellStart"/>
      <w:r>
        <w:rPr>
          <w:lang w:val="de-DE"/>
        </w:rPr>
        <w:t>daß</w:t>
      </w:r>
      <w:proofErr w:type="spellEnd"/>
      <w:r>
        <w:rPr>
          <w:lang w:val="de-DE"/>
        </w:rPr>
        <w:t xml:space="preserve"> für Aristoteles das Wahre und das Falsche nicht Gegenstand der ersten Philosophie sind. Die Prinzipien des Seienden, insofern es Seiendes ist, die diese betrachtet, werden nicht nur die </w:t>
      </w:r>
      <w:proofErr w:type="spellStart"/>
      <w:r>
        <w:rPr>
          <w:lang w:val="de-DE"/>
        </w:rPr>
        <w:t>Dianoia</w:t>
      </w:r>
      <w:proofErr w:type="spellEnd"/>
      <w:r>
        <w:rPr>
          <w:lang w:val="de-DE"/>
        </w:rPr>
        <w:t xml:space="preserve"> </w:t>
      </w:r>
      <w:proofErr w:type="spellStart"/>
      <w:r>
        <w:rPr>
          <w:lang w:val="de-DE"/>
        </w:rPr>
        <w:t>erfaßt</w:t>
      </w:r>
      <w:proofErr w:type="spellEnd"/>
      <w:r>
        <w:rPr>
          <w:lang w:val="de-DE"/>
        </w:rPr>
        <w:t>.“ (166)</w:t>
      </w:r>
    </w:p>
    <w:p w:rsidR="00743138" w:rsidRDefault="00743138">
      <w:pPr>
        <w:rPr>
          <w:lang w:val="de-DE"/>
        </w:rPr>
      </w:pPr>
      <w:r>
        <w:rPr>
          <w:lang w:val="de-DE"/>
        </w:rPr>
        <w:t xml:space="preserve">„Die Unterscheidung der noetischen Wahrheit von der dianoetischen ist bedeutsam, weil sie zeigt, </w:t>
      </w:r>
      <w:proofErr w:type="spellStart"/>
      <w:r>
        <w:rPr>
          <w:lang w:val="de-DE"/>
        </w:rPr>
        <w:t>daß</w:t>
      </w:r>
      <w:proofErr w:type="spellEnd"/>
      <w:r>
        <w:rPr>
          <w:lang w:val="de-DE"/>
        </w:rPr>
        <w:t xml:space="preserve"> auch Aristoteles die Möglichkeit anerkennt, ein unmittelbares, anschauliches Wissen von der Wirklichkeit zu haben.“ (167)</w:t>
      </w:r>
    </w:p>
    <w:p w:rsidR="00743138" w:rsidRDefault="00743138">
      <w:pPr>
        <w:rPr>
          <w:lang w:val="de-DE"/>
        </w:rPr>
      </w:pPr>
      <w:r>
        <w:rPr>
          <w:lang w:val="de-DE"/>
        </w:rPr>
        <w:lastRenderedPageBreak/>
        <w:t>„</w:t>
      </w:r>
      <w:proofErr w:type="spellStart"/>
      <w:r>
        <w:rPr>
          <w:lang w:val="de-DE"/>
        </w:rPr>
        <w:t>Theoria</w:t>
      </w:r>
      <w:proofErr w:type="spellEnd"/>
      <w:r>
        <w:rPr>
          <w:lang w:val="de-DE"/>
        </w:rPr>
        <w:t xml:space="preserve"> ist </w:t>
      </w:r>
      <w:proofErr w:type="spellStart"/>
      <w:r>
        <w:rPr>
          <w:lang w:val="de-DE"/>
        </w:rPr>
        <w:t>Durchgeistigung</w:t>
      </w:r>
      <w:proofErr w:type="spellEnd"/>
      <w:r>
        <w:rPr>
          <w:lang w:val="de-DE"/>
        </w:rPr>
        <w:t xml:space="preserve"> des Daseins, </w:t>
      </w:r>
      <w:proofErr w:type="spellStart"/>
      <w:r>
        <w:rPr>
          <w:lang w:val="de-DE"/>
        </w:rPr>
        <w:t>Durchgeistigung</w:t>
      </w:r>
      <w:proofErr w:type="spellEnd"/>
      <w:r>
        <w:rPr>
          <w:lang w:val="de-DE"/>
        </w:rPr>
        <w:t xml:space="preserve"> aber meint in diesem Zusammenhang, mit der Kraft des </w:t>
      </w:r>
      <w:proofErr w:type="spellStart"/>
      <w:r>
        <w:rPr>
          <w:lang w:val="de-DE"/>
        </w:rPr>
        <w:t>Seinsvernehmens</w:t>
      </w:r>
      <w:proofErr w:type="spellEnd"/>
      <w:r>
        <w:rPr>
          <w:lang w:val="de-DE"/>
        </w:rPr>
        <w:t xml:space="preserve"> die Phänomene durchdringen und das Wesen der Dinge erkennen und einsehen (</w:t>
      </w:r>
      <w:proofErr w:type="spellStart"/>
      <w:r>
        <w:rPr>
          <w:lang w:val="de-DE"/>
        </w:rPr>
        <w:t>noein</w:t>
      </w:r>
      <w:proofErr w:type="spellEnd"/>
      <w:r>
        <w:rPr>
          <w:lang w:val="de-DE"/>
        </w:rPr>
        <w:t xml:space="preserve">), unabhängig von jeder technischen Machbarkeit und Verfügungsgewalt.“ (170) </w:t>
      </w:r>
    </w:p>
    <w:p w:rsidR="00123E26" w:rsidRDefault="00123E26">
      <w:pPr>
        <w:rPr>
          <w:lang w:val="de-DE"/>
        </w:rPr>
      </w:pPr>
      <w:r>
        <w:rPr>
          <w:lang w:val="de-DE"/>
        </w:rPr>
        <w:t xml:space="preserve">„Die </w:t>
      </w:r>
      <w:proofErr w:type="spellStart"/>
      <w:r>
        <w:rPr>
          <w:lang w:val="de-DE"/>
        </w:rPr>
        <w:t>Eudaimonia</w:t>
      </w:r>
      <w:proofErr w:type="spellEnd"/>
      <w:r>
        <w:rPr>
          <w:lang w:val="de-DE"/>
        </w:rPr>
        <w:t xml:space="preserve"> ist erst dann wirklich vollendet, wenn sie die volle Länge des Lebens dauert, d.h. wenn der Geist in unwandelbarer Intensität und Gegenwärtigkeit und Klarheit des Vernehmens im </w:t>
      </w:r>
      <w:proofErr w:type="spellStart"/>
      <w:r>
        <w:rPr>
          <w:lang w:val="de-DE"/>
        </w:rPr>
        <w:t>Theorein</w:t>
      </w:r>
      <w:proofErr w:type="spellEnd"/>
      <w:r>
        <w:rPr>
          <w:lang w:val="de-DE"/>
        </w:rPr>
        <w:t xml:space="preserve">, </w:t>
      </w:r>
      <w:proofErr w:type="spellStart"/>
      <w:r>
        <w:rPr>
          <w:lang w:val="de-DE"/>
        </w:rPr>
        <w:t>unbetroffen</w:t>
      </w:r>
      <w:proofErr w:type="spellEnd"/>
      <w:r>
        <w:rPr>
          <w:lang w:val="de-DE"/>
        </w:rPr>
        <w:t xml:space="preserve"> von der Zeit, in Berührung bleibt mit dem Sein des Seienden im Ganzen.“ (177)</w:t>
      </w:r>
    </w:p>
    <w:p w:rsidR="00123E26" w:rsidRDefault="00123E26">
      <w:pPr>
        <w:rPr>
          <w:lang w:val="de-DE"/>
        </w:rPr>
      </w:pPr>
      <w:r>
        <w:rPr>
          <w:lang w:val="de-DE"/>
        </w:rPr>
        <w:t>„sondern wir sollen, soweit es möglich ist, uns bemühen, unsterblich zu sein“ (177)</w:t>
      </w:r>
    </w:p>
    <w:p w:rsidR="00123E26" w:rsidRDefault="00123E26">
      <w:pPr>
        <w:rPr>
          <w:lang w:val="de-DE"/>
        </w:rPr>
      </w:pPr>
      <w:r>
        <w:rPr>
          <w:lang w:val="de-DE"/>
        </w:rPr>
        <w:t xml:space="preserve">„Dahinter steht </w:t>
      </w:r>
      <w:proofErr w:type="spellStart"/>
      <w:r>
        <w:rPr>
          <w:lang w:val="de-DE"/>
        </w:rPr>
        <w:t>letzlich</w:t>
      </w:r>
      <w:proofErr w:type="spellEnd"/>
      <w:r>
        <w:rPr>
          <w:lang w:val="de-DE"/>
        </w:rPr>
        <w:t xml:space="preserve"> die unendliche Forderung, das ganze Reich des Denkbaren und der Erkenntnis zu durchmessen. Wenn Aristoteles die Freiheit darin verwirklicht sieht, alles Begegnende so zu schauen, wie es von seiner Natur her ist, also um seines Seins selbst willen, ohne </w:t>
      </w:r>
      <w:proofErr w:type="spellStart"/>
      <w:r>
        <w:rPr>
          <w:lang w:val="de-DE"/>
        </w:rPr>
        <w:t>daß</w:t>
      </w:r>
      <w:proofErr w:type="spellEnd"/>
      <w:r>
        <w:rPr>
          <w:lang w:val="de-DE"/>
        </w:rPr>
        <w:t xml:space="preserve"> die Beanspruchung durch einen anderen Zweck die Sicht einengt, wenn er der so verstandenen Freiheit zudem einen göttlichen Rang zuspricht, so äußert sich in diesem </w:t>
      </w:r>
      <w:proofErr w:type="spellStart"/>
      <w:r>
        <w:rPr>
          <w:lang w:val="de-DE"/>
        </w:rPr>
        <w:t>Bewußtsein</w:t>
      </w:r>
      <w:proofErr w:type="spellEnd"/>
      <w:r>
        <w:rPr>
          <w:lang w:val="de-DE"/>
        </w:rPr>
        <w:t xml:space="preserve"> eine Seelenhaltung, die gekennzeichnet ist durch Ehrfurcht und Vertrauen zu dem, was der Welt, in die wir hineingestellt sind, zugrunde liegt.“ (180) </w:t>
      </w:r>
    </w:p>
    <w:p w:rsidR="00123E26" w:rsidRPr="003E74FC" w:rsidRDefault="00123E26">
      <w:pPr>
        <w:rPr>
          <w:lang w:val="de-DE"/>
        </w:rPr>
      </w:pPr>
      <w:r>
        <w:rPr>
          <w:lang w:val="de-DE"/>
        </w:rPr>
        <w:t xml:space="preserve">„Das Gelingen der menschlichen Bemühungen hängt nicht nur davon ab, </w:t>
      </w:r>
      <w:proofErr w:type="spellStart"/>
      <w:r>
        <w:rPr>
          <w:lang w:val="de-DE"/>
        </w:rPr>
        <w:t>daß</w:t>
      </w:r>
      <w:proofErr w:type="spellEnd"/>
      <w:r>
        <w:rPr>
          <w:lang w:val="de-DE"/>
        </w:rPr>
        <w:t xml:space="preserve"> verändert wird, was verändert werden kann (</w:t>
      </w:r>
      <w:proofErr w:type="spellStart"/>
      <w:r>
        <w:rPr>
          <w:lang w:val="de-DE"/>
        </w:rPr>
        <w:t>endechomena</w:t>
      </w:r>
      <w:proofErr w:type="spellEnd"/>
      <w:r>
        <w:rPr>
          <w:lang w:val="de-DE"/>
        </w:rPr>
        <w:t xml:space="preserve"> </w:t>
      </w:r>
      <w:proofErr w:type="spellStart"/>
      <w:r>
        <w:rPr>
          <w:lang w:val="de-DE"/>
        </w:rPr>
        <w:t>allos</w:t>
      </w:r>
      <w:proofErr w:type="spellEnd"/>
      <w:r>
        <w:rPr>
          <w:lang w:val="de-DE"/>
        </w:rPr>
        <w:t>), sondern mehr noch von der Einsicht, die das Unabänderliche (</w:t>
      </w:r>
      <w:proofErr w:type="spellStart"/>
      <w:r>
        <w:rPr>
          <w:lang w:val="de-DE"/>
        </w:rPr>
        <w:t>me</w:t>
      </w:r>
      <w:proofErr w:type="spellEnd"/>
      <w:r>
        <w:rPr>
          <w:lang w:val="de-DE"/>
        </w:rPr>
        <w:t xml:space="preserve"> </w:t>
      </w:r>
      <w:proofErr w:type="spellStart"/>
      <w:r>
        <w:rPr>
          <w:lang w:val="de-DE"/>
        </w:rPr>
        <w:t>endechomena</w:t>
      </w:r>
      <w:proofErr w:type="spellEnd"/>
      <w:r>
        <w:rPr>
          <w:lang w:val="de-DE"/>
        </w:rPr>
        <w:t xml:space="preserve"> </w:t>
      </w:r>
      <w:proofErr w:type="spellStart"/>
      <w:r>
        <w:rPr>
          <w:lang w:val="de-DE"/>
        </w:rPr>
        <w:t>allos</w:t>
      </w:r>
      <w:proofErr w:type="spellEnd"/>
      <w:r>
        <w:rPr>
          <w:lang w:val="de-DE"/>
        </w:rPr>
        <w:t xml:space="preserve">) offenbart (Nik. </w:t>
      </w:r>
      <w:proofErr w:type="spellStart"/>
      <w:r>
        <w:rPr>
          <w:lang w:val="de-DE"/>
        </w:rPr>
        <w:t>Eth</w:t>
      </w:r>
      <w:proofErr w:type="spellEnd"/>
      <w:r>
        <w:rPr>
          <w:lang w:val="de-DE"/>
        </w:rPr>
        <w:t xml:space="preserve">. VI,6, 1141a3-4)“. (182) </w:t>
      </w:r>
      <w:bookmarkStart w:id="0" w:name="_GoBack"/>
      <w:bookmarkEnd w:id="0"/>
    </w:p>
    <w:sectPr w:rsidR="00123E26" w:rsidRPr="003E74F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4FC"/>
    <w:rsid w:val="001231ED"/>
    <w:rsid w:val="00123E26"/>
    <w:rsid w:val="00395CDE"/>
    <w:rsid w:val="003E74FC"/>
    <w:rsid w:val="0055526E"/>
    <w:rsid w:val="00635244"/>
    <w:rsid w:val="006E0AF6"/>
    <w:rsid w:val="00743138"/>
    <w:rsid w:val="00E9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0EFD5950-0D9F-F943-BC2C-AA61B7476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2019-11-26T12:39:00Z</dcterms:created>
  <dcterms:modified xsi:type="dcterms:W3CDTF">2019-11-26T13:07:00Z</dcterms:modified>
</cp:coreProperties>
</file>