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547778" w:rsidRDefault="003E4EB8">
      <w:pPr>
        <w:rPr>
          <w:b/>
          <w:lang w:val="en-CA"/>
        </w:rPr>
      </w:pPr>
      <w:bookmarkStart w:id="0" w:name="_GoBack"/>
      <w:r w:rsidRPr="00547778">
        <w:rPr>
          <w:b/>
          <w:lang w:val="en-CA"/>
        </w:rPr>
        <w:t xml:space="preserve">Jaroslav </w:t>
      </w:r>
      <w:proofErr w:type="spellStart"/>
      <w:r w:rsidRPr="00547778">
        <w:rPr>
          <w:b/>
          <w:lang w:val="en-CA"/>
        </w:rPr>
        <w:t>Pelikan</w:t>
      </w:r>
      <w:proofErr w:type="spellEnd"/>
      <w:r w:rsidRPr="00547778">
        <w:rPr>
          <w:b/>
          <w:lang w:val="en-CA"/>
        </w:rPr>
        <w:t>: The Christian tradition. A history of the development of doctrine. 4: Reformation of Church and dogma (1300-1700). Chicago: University of Chicago Press, 1985.</w:t>
      </w:r>
    </w:p>
    <w:bookmarkEnd w:id="0"/>
    <w:p w:rsidR="003E4EB8" w:rsidRDefault="003E4EB8">
      <w:pPr>
        <w:rPr>
          <w:lang w:val="en-CA"/>
        </w:rPr>
      </w:pPr>
    </w:p>
    <w:p w:rsidR="003E4EB8" w:rsidRDefault="003E4EB8">
      <w:pPr>
        <w:rPr>
          <w:lang w:val="en-CA"/>
        </w:rPr>
      </w:pPr>
      <w:r>
        <w:rPr>
          <w:lang w:val="en-CA"/>
        </w:rPr>
        <w:t>Gerson</w:t>
      </w:r>
    </w:p>
    <w:p w:rsidR="003E4EB8" w:rsidRDefault="003E4EB8">
      <w:pPr>
        <w:rPr>
          <w:lang w:val="en-CA"/>
        </w:rPr>
      </w:pPr>
      <w:r>
        <w:rPr>
          <w:lang w:val="en-CA"/>
        </w:rPr>
        <w:t>“The forms of church doctrine had dealt more with ‘understanding [</w:t>
      </w:r>
      <w:proofErr w:type="spellStart"/>
      <w:r>
        <w:rPr>
          <w:lang w:val="en-CA"/>
        </w:rPr>
        <w:t>intelligentia</w:t>
      </w:r>
      <w:proofErr w:type="spellEnd"/>
      <w:r>
        <w:rPr>
          <w:lang w:val="en-CA"/>
        </w:rPr>
        <w:t>]’ than with ‘feeling [</w:t>
      </w:r>
      <w:proofErr w:type="spellStart"/>
      <w:r>
        <w:rPr>
          <w:lang w:val="en-CA"/>
        </w:rPr>
        <w:t>affectus</w:t>
      </w:r>
      <w:proofErr w:type="spellEnd"/>
      <w:r>
        <w:rPr>
          <w:lang w:val="en-CA"/>
        </w:rPr>
        <w:t xml:space="preserve">],’ which was the seat of mystical theology. Or, as Nicholas of </w:t>
      </w:r>
      <w:proofErr w:type="spellStart"/>
      <w:r>
        <w:rPr>
          <w:lang w:val="en-CA"/>
        </w:rPr>
        <w:t>Cusa</w:t>
      </w:r>
      <w:proofErr w:type="spellEnd"/>
      <w:r>
        <w:rPr>
          <w:lang w:val="en-CA"/>
        </w:rPr>
        <w:t xml:space="preserve"> put it, one must ‘leave everything behind and even transcend one’s intellect,’ going ‘beyond all sense, reason, and intellect to mystical vision.’” (64)</w:t>
      </w:r>
    </w:p>
    <w:p w:rsidR="00384B60" w:rsidRDefault="003E4EB8">
      <w:pPr>
        <w:rPr>
          <w:lang w:val="en-CA"/>
        </w:rPr>
      </w:pPr>
      <w:r>
        <w:rPr>
          <w:lang w:val="en-CA"/>
        </w:rPr>
        <w:t xml:space="preserve">“Because simple believers were sometimes more devout than [65] scholars were, as Thomas Aquinas had observed, they also ‘penetrate to mystical </w:t>
      </w:r>
      <w:proofErr w:type="spellStart"/>
      <w:r>
        <w:rPr>
          <w:lang w:val="en-CA"/>
        </w:rPr>
        <w:t>theology</w:t>
      </w:r>
      <w:proofErr w:type="spellEnd"/>
      <w:r>
        <w:rPr>
          <w:lang w:val="en-CA"/>
        </w:rPr>
        <w:t xml:space="preserve"> in a more rapid</w:t>
      </w:r>
      <w:r w:rsidR="00384B60">
        <w:rPr>
          <w:lang w:val="en-CA"/>
        </w:rPr>
        <w:t xml:space="preserve"> and more sublime manner than do those who are learned in scholastic or discursive theology.’ For mystical theology ‘does not have need of the sort of school that may be called ‘the school of the intellect,’ but is acquired in the school of feeling,’ in which one learned to practice the moral virtues and the sort of theology that was conducive to mystical purification and illumination. The object of speculative theology was the True, the object of mystical theology was the Good. </w:t>
      </w:r>
      <w:proofErr w:type="gramStart"/>
      <w:r w:rsidR="00384B60">
        <w:rPr>
          <w:lang w:val="en-CA"/>
        </w:rPr>
        <w:t>Thus</w:t>
      </w:r>
      <w:proofErr w:type="gramEnd"/>
      <w:r w:rsidR="00384B60">
        <w:rPr>
          <w:lang w:val="en-CA"/>
        </w:rPr>
        <w:t xml:space="preserve"> while speculative theology sought an intellectual ‘knowledge about [</w:t>
      </w:r>
      <w:proofErr w:type="spellStart"/>
      <w:r w:rsidR="00384B60">
        <w:rPr>
          <w:lang w:val="en-CA"/>
        </w:rPr>
        <w:t>scientia</w:t>
      </w:r>
      <w:proofErr w:type="spellEnd"/>
      <w:r w:rsidR="00384B60">
        <w:rPr>
          <w:lang w:val="en-CA"/>
        </w:rPr>
        <w:t xml:space="preserve">],’ mystical theology sought an </w:t>
      </w:r>
      <w:proofErr w:type="spellStart"/>
      <w:r w:rsidR="00384B60">
        <w:rPr>
          <w:lang w:val="en-CA"/>
        </w:rPr>
        <w:t>experiental</w:t>
      </w:r>
      <w:proofErr w:type="spellEnd"/>
      <w:r w:rsidR="00384B60">
        <w:rPr>
          <w:lang w:val="en-CA"/>
        </w:rPr>
        <w:t xml:space="preserve"> ‘knowledge of [</w:t>
      </w:r>
      <w:proofErr w:type="spellStart"/>
      <w:r w:rsidR="00384B60">
        <w:rPr>
          <w:lang w:val="en-CA"/>
        </w:rPr>
        <w:t>notitia</w:t>
      </w:r>
      <w:proofErr w:type="spellEnd"/>
      <w:r w:rsidR="00384B60">
        <w:rPr>
          <w:lang w:val="en-CA"/>
        </w:rPr>
        <w:t>].’ In this it showed that it stood more in the tradition of Augustine than in that of Aristotle.” (64-65)</w:t>
      </w:r>
    </w:p>
    <w:p w:rsidR="00384B60" w:rsidRDefault="00384B60">
      <w:pPr>
        <w:rPr>
          <w:lang w:val="en-CA"/>
        </w:rPr>
      </w:pPr>
    </w:p>
    <w:p w:rsidR="00384B60" w:rsidRDefault="00384B60">
      <w:pPr>
        <w:rPr>
          <w:lang w:val="en-CA"/>
        </w:rPr>
      </w:pPr>
      <w:r>
        <w:rPr>
          <w:lang w:val="en-CA"/>
        </w:rPr>
        <w:t>“In a similar vein the early Melanchthon declared that ‘to know Christ is to know his benefits.’ The polemical target of both these propositions was a theological method that the authors attributed to scholasticism, which treated the truths of the Christian faith as objects of intellectual curiosity without reference to the cross and benefits of Christ. Specifically, the dogmas of the Trinity and the person of Christ were not an exercise in logical inquiry or metaphysical speculation. Luther ridiculed the scholastics for investigating the relation between the two natures of Christ and branded such investigation as ‘sophistic.’ ‘What difference does that make to me?’ he continued. ‘That he is man and God by nature, that he has for his own self; but that he has exercised his office and poured out his love, becoming my Savior and Redeemer—that happens for my consolation</w:t>
      </w:r>
      <w:r w:rsidR="00E17445">
        <w:rPr>
          <w:lang w:val="en-CA"/>
        </w:rPr>
        <w:t xml:space="preserve"> and benefit.’ For, as Luther said in a sermon of 1525, Christ was not called ‘Christ’ because he had two natures, but because of his office as Savior.” (156)</w:t>
      </w:r>
    </w:p>
    <w:p w:rsidR="00E17445" w:rsidRDefault="00E17445">
      <w:pPr>
        <w:rPr>
          <w:lang w:val="en-CA"/>
        </w:rPr>
      </w:pPr>
      <w:r>
        <w:rPr>
          <w:lang w:val="en-CA"/>
        </w:rPr>
        <w:t>“More crucial in some ways was the rendering of terms associated with the sacramental system. Luther, with his substitution of ‘penitence’ for ‘penance’ as a translation of the Greek ‘[metanoia],’ was attaching himself to Valla’s philological correction of the medieval use of ‘Do penance’ as a translation of the words of Jesus in the Gospels and as a justification of the penitential system.” (308)</w:t>
      </w:r>
    </w:p>
    <w:p w:rsidR="00E17445" w:rsidRDefault="00E17445">
      <w:pPr>
        <w:rPr>
          <w:lang w:val="en-CA"/>
        </w:rPr>
      </w:pPr>
    </w:p>
    <w:p w:rsidR="00E17445" w:rsidRDefault="00E17445">
      <w:pPr>
        <w:rPr>
          <w:lang w:val="en-CA"/>
        </w:rPr>
      </w:pPr>
      <w:r>
        <w:rPr>
          <w:lang w:val="en-CA"/>
        </w:rPr>
        <w:t>Anabaptists</w:t>
      </w:r>
    </w:p>
    <w:p w:rsidR="00E17445" w:rsidRDefault="00E17445">
      <w:pPr>
        <w:rPr>
          <w:lang w:val="en-CA"/>
        </w:rPr>
      </w:pPr>
      <w:r>
        <w:rPr>
          <w:lang w:val="en-CA"/>
        </w:rPr>
        <w:t>“In his ‘ordinance and institution of Christian baptism’ Christ had prescribed the order to be followed for apostolic baptism: first the word, then hearing, then change of life, and only then baptism.” (318)</w:t>
      </w:r>
    </w:p>
    <w:p w:rsidR="00E17445" w:rsidRPr="003E4EB8" w:rsidRDefault="00E17445">
      <w:pPr>
        <w:rPr>
          <w:lang w:val="en-CA"/>
        </w:rPr>
      </w:pPr>
      <w:r>
        <w:rPr>
          <w:lang w:val="en-CA"/>
        </w:rPr>
        <w:t>“Excommunication and church discipline had to be such a serious matter because Christian ‘discipleship [</w:t>
      </w:r>
      <w:proofErr w:type="spellStart"/>
      <w:r>
        <w:rPr>
          <w:lang w:val="en-CA"/>
        </w:rPr>
        <w:t>Nachfolge</w:t>
      </w:r>
      <w:proofErr w:type="spellEnd"/>
      <w:r>
        <w:rPr>
          <w:lang w:val="en-CA"/>
        </w:rPr>
        <w:t xml:space="preserve">]’ was serious business. What a modern editor has called ‘Hans </w:t>
      </w:r>
      <w:proofErr w:type="spellStart"/>
      <w:r>
        <w:rPr>
          <w:lang w:val="en-CA"/>
        </w:rPr>
        <w:t>Denck’s</w:t>
      </w:r>
      <w:proofErr w:type="spellEnd"/>
      <w:r>
        <w:rPr>
          <w:lang w:val="en-CA"/>
        </w:rPr>
        <w:t xml:space="preserve"> </w:t>
      </w:r>
      <w:r>
        <w:rPr>
          <w:lang w:val="en-CA"/>
        </w:rPr>
        <w:lastRenderedPageBreak/>
        <w:t>motto’ stated: ‘No one can truly know [Christ] unless he follows [</w:t>
      </w:r>
      <w:proofErr w:type="spellStart"/>
      <w:r>
        <w:rPr>
          <w:lang w:val="en-CA"/>
        </w:rPr>
        <w:t>nachvolge</w:t>
      </w:r>
      <w:proofErr w:type="spellEnd"/>
      <w:r>
        <w:rPr>
          <w:lang w:val="en-CA"/>
        </w:rPr>
        <w:t xml:space="preserve">] him in his life. And no one can follow Him except insofar as he knows Him first.’” (319) </w:t>
      </w:r>
    </w:p>
    <w:sectPr w:rsidR="00E17445" w:rsidRPr="003E4EB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EB8"/>
    <w:rsid w:val="001231ED"/>
    <w:rsid w:val="00384B60"/>
    <w:rsid w:val="00395CDE"/>
    <w:rsid w:val="003E4EB8"/>
    <w:rsid w:val="00547778"/>
    <w:rsid w:val="0055526E"/>
    <w:rsid w:val="00635244"/>
    <w:rsid w:val="006E0AF6"/>
    <w:rsid w:val="00E17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AC7CAB0-1FE7-8C4D-800C-E53C76CF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2021-06-01T12:20:00Z</dcterms:created>
  <dcterms:modified xsi:type="dcterms:W3CDTF">2021-06-01T12:52:00Z</dcterms:modified>
</cp:coreProperties>
</file>