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BB01E9">
      <w:pPr>
        <w:rPr>
          <w:lang w:val="de-DE"/>
        </w:rPr>
      </w:pPr>
      <w:r w:rsidRPr="00BB01E9">
        <w:rPr>
          <w:b/>
          <w:lang w:val="de-DE"/>
        </w:rPr>
        <w:t xml:space="preserve">A.D. </w:t>
      </w:r>
      <w:bookmarkStart w:id="0" w:name="_GoBack"/>
      <w:r w:rsidRPr="00BB01E9">
        <w:rPr>
          <w:b/>
          <w:lang w:val="de-DE"/>
        </w:rPr>
        <w:t>Nock: Art. Bekehrung</w:t>
      </w:r>
      <w:bookmarkEnd w:id="0"/>
      <w:r w:rsidRPr="00BB01E9">
        <w:rPr>
          <w:b/>
          <w:lang w:val="de-DE"/>
        </w:rPr>
        <w:t xml:space="preserve">. </w:t>
      </w:r>
      <w:r w:rsidRPr="00BB01E9">
        <w:rPr>
          <w:b/>
          <w:lang w:val="de-DE"/>
        </w:rPr>
        <w:t xml:space="preserve">In: Theodor </w:t>
      </w:r>
      <w:proofErr w:type="spellStart"/>
      <w:r w:rsidRPr="00BB01E9">
        <w:rPr>
          <w:b/>
          <w:lang w:val="de-DE"/>
        </w:rPr>
        <w:t>Klauser</w:t>
      </w:r>
      <w:proofErr w:type="spellEnd"/>
      <w:r w:rsidRPr="00BB01E9">
        <w:rPr>
          <w:b/>
          <w:lang w:val="de-DE"/>
        </w:rPr>
        <w:t xml:space="preserve"> (</w:t>
      </w:r>
      <w:proofErr w:type="spellStart"/>
      <w:r w:rsidRPr="00BB01E9">
        <w:rPr>
          <w:b/>
          <w:lang w:val="de-DE"/>
        </w:rPr>
        <w:t>Hg</w:t>
      </w:r>
      <w:proofErr w:type="spellEnd"/>
      <w:r w:rsidRPr="00BB01E9">
        <w:rPr>
          <w:b/>
          <w:lang w:val="de-DE"/>
        </w:rPr>
        <w:t>.): Reallexikon für Antike und Christentum.</w:t>
      </w:r>
      <w:r w:rsidRPr="009C3F0A">
        <w:rPr>
          <w:b/>
          <w:lang w:val="de-DE"/>
        </w:rPr>
        <w:t xml:space="preserve"> Sachwörterbuch zur Auseinandersetzung des Christentums mit der antiken Welt. Band </w:t>
      </w:r>
      <w:r>
        <w:rPr>
          <w:b/>
          <w:lang w:val="de-DE"/>
        </w:rPr>
        <w:t>II</w:t>
      </w:r>
      <w:r w:rsidRPr="009C3F0A">
        <w:rPr>
          <w:b/>
          <w:lang w:val="de-DE"/>
        </w:rPr>
        <w:t xml:space="preserve">. Stuttgart: Anton </w:t>
      </w:r>
      <w:proofErr w:type="spellStart"/>
      <w:r w:rsidRPr="009C3F0A">
        <w:rPr>
          <w:b/>
          <w:lang w:val="de-DE"/>
        </w:rPr>
        <w:t>Hiersemann</w:t>
      </w:r>
      <w:proofErr w:type="spellEnd"/>
      <w:r w:rsidRPr="009C3F0A">
        <w:rPr>
          <w:b/>
          <w:lang w:val="de-DE"/>
        </w:rPr>
        <w:t>, 19</w:t>
      </w:r>
      <w:r>
        <w:rPr>
          <w:b/>
          <w:lang w:val="de-DE"/>
        </w:rPr>
        <w:t>54</w:t>
      </w:r>
      <w:r w:rsidRPr="009C3F0A">
        <w:rPr>
          <w:b/>
          <w:lang w:val="de-DE"/>
        </w:rPr>
        <w:t xml:space="preserve">, </w:t>
      </w:r>
      <w:r>
        <w:rPr>
          <w:b/>
          <w:lang w:val="de-DE"/>
        </w:rPr>
        <w:t>106</w:t>
      </w:r>
      <w:r w:rsidRPr="009C3F0A">
        <w:rPr>
          <w:b/>
          <w:lang w:val="de-DE"/>
        </w:rPr>
        <w:t>-</w:t>
      </w:r>
      <w:r>
        <w:rPr>
          <w:b/>
          <w:lang w:val="de-DE"/>
        </w:rPr>
        <w:t>118</w:t>
      </w:r>
    </w:p>
    <w:p w:rsidR="00BB01E9" w:rsidRDefault="00BB01E9">
      <w:pPr>
        <w:rPr>
          <w:lang w:val="de-DE"/>
        </w:rPr>
      </w:pPr>
    </w:p>
    <w:p w:rsidR="00BB01E9" w:rsidRDefault="00BB01E9">
      <w:pPr>
        <w:rPr>
          <w:lang w:val="de-DE"/>
        </w:rPr>
      </w:pPr>
      <w:r>
        <w:rPr>
          <w:lang w:val="de-DE"/>
        </w:rPr>
        <w:t>„Platons berühmtes Höhlengleichnis schildert Menschen, die, von jeher im Dunkel sitzend, nichts sehen als die Lichtreflexe, die vom Feuer an die Wand vor ihnen geworfen werden. Um das Licht und die wirklichen Gegenstände zu sehen, bedürfen sie einer plötzlichen Umdrehung. Dieses ‚</w:t>
      </w:r>
      <w:proofErr w:type="spellStart"/>
      <w:r>
        <w:rPr>
          <w:lang w:val="de-DE"/>
        </w:rPr>
        <w:t>Umgewendetwerden</w:t>
      </w:r>
      <w:proofErr w:type="spellEnd"/>
      <w:r>
        <w:rPr>
          <w:lang w:val="de-DE"/>
        </w:rPr>
        <w:t xml:space="preserve">‘ […] benutzte Platon, um die Aufgabe der Erziehung zu verdeutlichen: sie soll die Menschen von der Welt des Werdens abziehen u. zur Welt des Seins hinwenden“ (105) </w:t>
      </w:r>
    </w:p>
    <w:p w:rsidR="00BB01E9" w:rsidRPr="00BB01E9" w:rsidRDefault="00BB01E9">
      <w:pPr>
        <w:rPr>
          <w:lang w:val="de-DE"/>
        </w:rPr>
      </w:pPr>
      <w:r>
        <w:rPr>
          <w:lang w:val="de-DE"/>
        </w:rPr>
        <w:t xml:space="preserve">„Die Entstehung des christl. Mönchtums schuf einen neuen Typus des </w:t>
      </w:r>
      <w:proofErr w:type="spellStart"/>
      <w:r>
        <w:rPr>
          <w:lang w:val="de-DE"/>
        </w:rPr>
        <w:t>Conversio</w:t>
      </w:r>
      <w:proofErr w:type="spellEnd"/>
      <w:r>
        <w:rPr>
          <w:lang w:val="de-DE"/>
        </w:rPr>
        <w:t>. Jetzt verstand man darunter die Annahme einer asketischen Lebenshaltung mitsamt ihrer charakteristischen Tracht.“ (117)</w:t>
      </w:r>
    </w:p>
    <w:sectPr w:rsidR="00BB01E9" w:rsidRPr="00BB01E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1E9"/>
    <w:rsid w:val="001231ED"/>
    <w:rsid w:val="00395CDE"/>
    <w:rsid w:val="0055526E"/>
    <w:rsid w:val="00635244"/>
    <w:rsid w:val="006E0AF6"/>
    <w:rsid w:val="00BB01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2E463BD8-E3DE-AA4F-BD76-5A735AB0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01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2019-06-04T11:05:00Z</dcterms:created>
  <dcterms:modified xsi:type="dcterms:W3CDTF">2019-06-04T11:15:00Z</dcterms:modified>
</cp:coreProperties>
</file>