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E30" w:rsidRPr="00D36AB7" w:rsidRDefault="00D36AB7">
      <w:pPr>
        <w:rPr>
          <w:sz w:val="40"/>
          <w:szCs w:val="40"/>
          <w:lang w:val="de-DE"/>
        </w:rPr>
      </w:pPr>
      <w:r w:rsidRPr="00D36AB7">
        <w:rPr>
          <w:sz w:val="40"/>
          <w:szCs w:val="40"/>
          <w:lang w:val="de-DE"/>
        </w:rPr>
        <w:t>Nachwort</w:t>
      </w:r>
    </w:p>
    <w:p w:rsidR="00A47D3D" w:rsidRDefault="00A47D3D">
      <w:pPr>
        <w:rPr>
          <w:lang w:val="de-DE"/>
        </w:rPr>
      </w:pPr>
    </w:p>
    <w:p w:rsidR="002562CE" w:rsidRDefault="002562CE">
      <w:pPr>
        <w:rPr>
          <w:lang w:val="de-DE"/>
        </w:rPr>
      </w:pPr>
    </w:p>
    <w:p w:rsidR="002562CE" w:rsidRDefault="002562CE">
      <w:pPr>
        <w:rPr>
          <w:lang w:val="de-DE"/>
        </w:rPr>
      </w:pPr>
    </w:p>
    <w:p w:rsidR="00D36AB7" w:rsidRDefault="00D36AB7">
      <w:pPr>
        <w:rPr>
          <w:lang w:val="de-DE"/>
        </w:rPr>
      </w:pPr>
    </w:p>
    <w:sdt>
      <w:sdtPr>
        <w:rPr>
          <w:rFonts w:asciiTheme="minorHAnsi" w:eastAsiaTheme="minorHAnsi" w:hAnsiTheme="minorHAnsi" w:cstheme="minorBidi"/>
          <w:color w:val="auto"/>
          <w:sz w:val="24"/>
          <w:szCs w:val="24"/>
        </w:rPr>
        <w:id w:val="2013330990"/>
        <w:docPartObj>
          <w:docPartGallery w:val="Table of Contents"/>
          <w:docPartUnique/>
        </w:docPartObj>
      </w:sdtPr>
      <w:sdtEndPr>
        <w:rPr>
          <w:b/>
          <w:bCs/>
          <w:noProof/>
        </w:rPr>
      </w:sdtEndPr>
      <w:sdtContent>
        <w:p w:rsidR="00FC2E0F" w:rsidRDefault="00FC2E0F">
          <w:pPr>
            <w:pStyle w:val="TOCHeading"/>
          </w:pPr>
          <w:r>
            <w:t>Table of Contents</w:t>
          </w:r>
        </w:p>
        <w:p w:rsidR="00F170A5" w:rsidRDefault="00FC2E0F">
          <w:pPr>
            <w:pStyle w:val="TOC1"/>
            <w:tabs>
              <w:tab w:val="right" w:leader="dot" w:pos="9350"/>
            </w:tabs>
            <w:rPr>
              <w:rFonts w:eastAsiaTheme="minorEastAsia"/>
              <w:noProof/>
              <w:sz w:val="22"/>
              <w:szCs w:val="22"/>
              <w:lang w:val="en-CA" w:eastAsia="en-CA"/>
            </w:rPr>
          </w:pPr>
          <w:r>
            <w:rPr>
              <w:b/>
              <w:bCs/>
              <w:noProof/>
            </w:rPr>
            <w:fldChar w:fldCharType="begin"/>
          </w:r>
          <w:r>
            <w:rPr>
              <w:b/>
              <w:bCs/>
              <w:noProof/>
            </w:rPr>
            <w:instrText xml:space="preserve"> TOC \o "1-3" \h \z \u </w:instrText>
          </w:r>
          <w:r>
            <w:rPr>
              <w:b/>
              <w:bCs/>
              <w:noProof/>
            </w:rPr>
            <w:fldChar w:fldCharType="separate"/>
          </w:r>
          <w:hyperlink w:anchor="_Toc31886193" w:history="1">
            <w:r w:rsidR="00F170A5" w:rsidRPr="00B37E90">
              <w:rPr>
                <w:rStyle w:val="Hyperlink"/>
                <w:noProof/>
                <w:lang w:val="de-DE"/>
              </w:rPr>
              <w:t>(1) Positivismus und Naturalismus</w:t>
            </w:r>
            <w:r w:rsidR="00F170A5">
              <w:rPr>
                <w:noProof/>
                <w:webHidden/>
              </w:rPr>
              <w:tab/>
            </w:r>
            <w:r w:rsidR="00F170A5">
              <w:rPr>
                <w:noProof/>
                <w:webHidden/>
              </w:rPr>
              <w:fldChar w:fldCharType="begin"/>
            </w:r>
            <w:r w:rsidR="00F170A5">
              <w:rPr>
                <w:noProof/>
                <w:webHidden/>
              </w:rPr>
              <w:instrText xml:space="preserve"> PAGEREF _Toc31886193 \h </w:instrText>
            </w:r>
            <w:r w:rsidR="00F170A5">
              <w:rPr>
                <w:noProof/>
                <w:webHidden/>
              </w:rPr>
            </w:r>
            <w:r w:rsidR="00F170A5">
              <w:rPr>
                <w:noProof/>
                <w:webHidden/>
              </w:rPr>
              <w:fldChar w:fldCharType="separate"/>
            </w:r>
            <w:r w:rsidR="002562CE">
              <w:rPr>
                <w:noProof/>
                <w:webHidden/>
              </w:rPr>
              <w:t>2</w:t>
            </w:r>
            <w:r w:rsidR="00F170A5">
              <w:rPr>
                <w:noProof/>
                <w:webHidden/>
              </w:rPr>
              <w:fldChar w:fldCharType="end"/>
            </w:r>
          </w:hyperlink>
        </w:p>
        <w:p w:rsidR="00F170A5" w:rsidRDefault="002562CE">
          <w:pPr>
            <w:pStyle w:val="TOC2"/>
            <w:tabs>
              <w:tab w:val="right" w:leader="dot" w:pos="9350"/>
            </w:tabs>
            <w:rPr>
              <w:rFonts w:eastAsiaTheme="minorEastAsia"/>
              <w:noProof/>
              <w:sz w:val="22"/>
              <w:szCs w:val="22"/>
              <w:lang w:val="en-CA" w:eastAsia="en-CA"/>
            </w:rPr>
          </w:pPr>
          <w:hyperlink w:anchor="_Toc31886194" w:history="1">
            <w:r w:rsidR="00F170A5" w:rsidRPr="00B37E90">
              <w:rPr>
                <w:rStyle w:val="Hyperlink"/>
                <w:noProof/>
                <w:lang w:val="de-DE"/>
              </w:rPr>
              <w:t>Das Baconsche Programm</w:t>
            </w:r>
            <w:r w:rsidR="00F170A5">
              <w:rPr>
                <w:noProof/>
                <w:webHidden/>
              </w:rPr>
              <w:tab/>
            </w:r>
            <w:r w:rsidR="00F170A5">
              <w:rPr>
                <w:noProof/>
                <w:webHidden/>
              </w:rPr>
              <w:fldChar w:fldCharType="begin"/>
            </w:r>
            <w:r w:rsidR="00F170A5">
              <w:rPr>
                <w:noProof/>
                <w:webHidden/>
              </w:rPr>
              <w:instrText xml:space="preserve"> PAGEREF _Toc31886194 \h </w:instrText>
            </w:r>
            <w:r w:rsidR="00F170A5">
              <w:rPr>
                <w:noProof/>
                <w:webHidden/>
              </w:rPr>
            </w:r>
            <w:r w:rsidR="00F170A5">
              <w:rPr>
                <w:noProof/>
                <w:webHidden/>
              </w:rPr>
              <w:fldChar w:fldCharType="separate"/>
            </w:r>
            <w:r>
              <w:rPr>
                <w:noProof/>
                <w:webHidden/>
              </w:rPr>
              <w:t>5</w:t>
            </w:r>
            <w:r w:rsidR="00F170A5">
              <w:rPr>
                <w:noProof/>
                <w:webHidden/>
              </w:rPr>
              <w:fldChar w:fldCharType="end"/>
            </w:r>
          </w:hyperlink>
        </w:p>
        <w:p w:rsidR="00F170A5" w:rsidRDefault="002562CE">
          <w:pPr>
            <w:pStyle w:val="TOC2"/>
            <w:tabs>
              <w:tab w:val="right" w:leader="dot" w:pos="9350"/>
            </w:tabs>
            <w:rPr>
              <w:rFonts w:eastAsiaTheme="minorEastAsia"/>
              <w:noProof/>
              <w:sz w:val="22"/>
              <w:szCs w:val="22"/>
              <w:lang w:val="en-CA" w:eastAsia="en-CA"/>
            </w:rPr>
          </w:pPr>
          <w:hyperlink w:anchor="_Toc31886195" w:history="1">
            <w:r w:rsidR="00F170A5" w:rsidRPr="00B37E90">
              <w:rPr>
                <w:rStyle w:val="Hyperlink"/>
                <w:noProof/>
                <w:lang w:val="de-DE"/>
              </w:rPr>
              <w:t>Der Positivismus Comtes: Wissenschaft und Technik</w:t>
            </w:r>
            <w:r w:rsidR="00F170A5">
              <w:rPr>
                <w:noProof/>
                <w:webHidden/>
              </w:rPr>
              <w:tab/>
            </w:r>
            <w:r w:rsidR="00F170A5">
              <w:rPr>
                <w:noProof/>
                <w:webHidden/>
              </w:rPr>
              <w:fldChar w:fldCharType="begin"/>
            </w:r>
            <w:r w:rsidR="00F170A5">
              <w:rPr>
                <w:noProof/>
                <w:webHidden/>
              </w:rPr>
              <w:instrText xml:space="preserve"> PAGEREF _Toc31886195 \h </w:instrText>
            </w:r>
            <w:r w:rsidR="00F170A5">
              <w:rPr>
                <w:noProof/>
                <w:webHidden/>
              </w:rPr>
            </w:r>
            <w:r w:rsidR="00F170A5">
              <w:rPr>
                <w:noProof/>
                <w:webHidden/>
              </w:rPr>
              <w:fldChar w:fldCharType="separate"/>
            </w:r>
            <w:r>
              <w:rPr>
                <w:noProof/>
                <w:webHidden/>
              </w:rPr>
              <w:t>6</w:t>
            </w:r>
            <w:r w:rsidR="00F170A5">
              <w:rPr>
                <w:noProof/>
                <w:webHidden/>
              </w:rPr>
              <w:fldChar w:fldCharType="end"/>
            </w:r>
          </w:hyperlink>
        </w:p>
        <w:p w:rsidR="00F170A5" w:rsidRDefault="002562CE">
          <w:pPr>
            <w:pStyle w:val="TOC2"/>
            <w:tabs>
              <w:tab w:val="right" w:leader="dot" w:pos="9350"/>
            </w:tabs>
            <w:rPr>
              <w:rFonts w:eastAsiaTheme="minorEastAsia"/>
              <w:noProof/>
              <w:sz w:val="22"/>
              <w:szCs w:val="22"/>
              <w:lang w:val="en-CA" w:eastAsia="en-CA"/>
            </w:rPr>
          </w:pPr>
          <w:hyperlink w:anchor="_Toc31886196" w:history="1">
            <w:r w:rsidR="00F170A5" w:rsidRPr="00B37E90">
              <w:rPr>
                <w:rStyle w:val="Hyperlink"/>
                <w:noProof/>
                <w:lang w:val="de-DE"/>
              </w:rPr>
              <w:t>Zolas Naturalismus</w:t>
            </w:r>
            <w:r w:rsidR="00F170A5">
              <w:rPr>
                <w:noProof/>
                <w:webHidden/>
              </w:rPr>
              <w:tab/>
            </w:r>
            <w:r w:rsidR="00F170A5">
              <w:rPr>
                <w:noProof/>
                <w:webHidden/>
              </w:rPr>
              <w:fldChar w:fldCharType="begin"/>
            </w:r>
            <w:r w:rsidR="00F170A5">
              <w:rPr>
                <w:noProof/>
                <w:webHidden/>
              </w:rPr>
              <w:instrText xml:space="preserve"> PAGEREF _Toc31886196 \h </w:instrText>
            </w:r>
            <w:r w:rsidR="00F170A5">
              <w:rPr>
                <w:noProof/>
                <w:webHidden/>
              </w:rPr>
            </w:r>
            <w:r w:rsidR="00F170A5">
              <w:rPr>
                <w:noProof/>
                <w:webHidden/>
              </w:rPr>
              <w:fldChar w:fldCharType="separate"/>
            </w:r>
            <w:r>
              <w:rPr>
                <w:noProof/>
                <w:webHidden/>
              </w:rPr>
              <w:t>10</w:t>
            </w:r>
            <w:r w:rsidR="00F170A5">
              <w:rPr>
                <w:noProof/>
                <w:webHidden/>
              </w:rPr>
              <w:fldChar w:fldCharType="end"/>
            </w:r>
          </w:hyperlink>
        </w:p>
        <w:p w:rsidR="00F170A5" w:rsidRDefault="002562CE">
          <w:pPr>
            <w:pStyle w:val="TOC2"/>
            <w:tabs>
              <w:tab w:val="right" w:leader="dot" w:pos="9350"/>
            </w:tabs>
            <w:rPr>
              <w:rFonts w:eastAsiaTheme="minorEastAsia"/>
              <w:noProof/>
              <w:sz w:val="22"/>
              <w:szCs w:val="22"/>
              <w:lang w:val="en-CA" w:eastAsia="en-CA"/>
            </w:rPr>
          </w:pPr>
          <w:hyperlink w:anchor="_Toc31886197" w:history="1">
            <w:r w:rsidR="00F170A5" w:rsidRPr="00B37E90">
              <w:rPr>
                <w:rStyle w:val="Hyperlink"/>
                <w:noProof/>
                <w:lang w:val="de-DE"/>
              </w:rPr>
              <w:t>Tolstois Idealismus</w:t>
            </w:r>
            <w:r w:rsidR="00F170A5">
              <w:rPr>
                <w:noProof/>
                <w:webHidden/>
              </w:rPr>
              <w:tab/>
            </w:r>
            <w:r w:rsidR="00F170A5">
              <w:rPr>
                <w:noProof/>
                <w:webHidden/>
              </w:rPr>
              <w:fldChar w:fldCharType="begin"/>
            </w:r>
            <w:r w:rsidR="00F170A5">
              <w:rPr>
                <w:noProof/>
                <w:webHidden/>
              </w:rPr>
              <w:instrText xml:space="preserve"> PAGEREF _Toc31886197 \h </w:instrText>
            </w:r>
            <w:r w:rsidR="00F170A5">
              <w:rPr>
                <w:noProof/>
                <w:webHidden/>
              </w:rPr>
            </w:r>
            <w:r w:rsidR="00F170A5">
              <w:rPr>
                <w:noProof/>
                <w:webHidden/>
              </w:rPr>
              <w:fldChar w:fldCharType="separate"/>
            </w:r>
            <w:r>
              <w:rPr>
                <w:noProof/>
                <w:webHidden/>
              </w:rPr>
              <w:t>11</w:t>
            </w:r>
            <w:r w:rsidR="00F170A5">
              <w:rPr>
                <w:noProof/>
                <w:webHidden/>
              </w:rPr>
              <w:fldChar w:fldCharType="end"/>
            </w:r>
          </w:hyperlink>
        </w:p>
        <w:p w:rsidR="00F170A5" w:rsidRDefault="002562CE">
          <w:pPr>
            <w:pStyle w:val="TOC1"/>
            <w:tabs>
              <w:tab w:val="right" w:leader="dot" w:pos="9350"/>
            </w:tabs>
            <w:rPr>
              <w:rFonts w:eastAsiaTheme="minorEastAsia"/>
              <w:noProof/>
              <w:sz w:val="22"/>
              <w:szCs w:val="22"/>
              <w:lang w:val="en-CA" w:eastAsia="en-CA"/>
            </w:rPr>
          </w:pPr>
          <w:hyperlink w:anchor="_Toc31886198" w:history="1">
            <w:r w:rsidR="00F170A5" w:rsidRPr="00B37E90">
              <w:rPr>
                <w:rStyle w:val="Hyperlink"/>
                <w:noProof/>
                <w:lang w:val="de-DE"/>
              </w:rPr>
              <w:t>(2) Nichttun als Unterlassen: die Bergpredigt</w:t>
            </w:r>
            <w:r w:rsidR="00F170A5">
              <w:rPr>
                <w:noProof/>
                <w:webHidden/>
              </w:rPr>
              <w:tab/>
            </w:r>
            <w:r w:rsidR="00F170A5">
              <w:rPr>
                <w:noProof/>
                <w:webHidden/>
              </w:rPr>
              <w:fldChar w:fldCharType="begin"/>
            </w:r>
            <w:r w:rsidR="00F170A5">
              <w:rPr>
                <w:noProof/>
                <w:webHidden/>
              </w:rPr>
              <w:instrText xml:space="preserve"> PAGEREF _Toc31886198 \h </w:instrText>
            </w:r>
            <w:r w:rsidR="00F170A5">
              <w:rPr>
                <w:noProof/>
                <w:webHidden/>
              </w:rPr>
            </w:r>
            <w:r w:rsidR="00F170A5">
              <w:rPr>
                <w:noProof/>
                <w:webHidden/>
              </w:rPr>
              <w:fldChar w:fldCharType="separate"/>
            </w:r>
            <w:r>
              <w:rPr>
                <w:noProof/>
                <w:webHidden/>
              </w:rPr>
              <w:t>11</w:t>
            </w:r>
            <w:r w:rsidR="00F170A5">
              <w:rPr>
                <w:noProof/>
                <w:webHidden/>
              </w:rPr>
              <w:fldChar w:fldCharType="end"/>
            </w:r>
          </w:hyperlink>
        </w:p>
        <w:p w:rsidR="00F170A5" w:rsidRDefault="002562CE">
          <w:pPr>
            <w:pStyle w:val="TOC1"/>
            <w:tabs>
              <w:tab w:val="right" w:leader="dot" w:pos="9350"/>
            </w:tabs>
            <w:rPr>
              <w:rFonts w:eastAsiaTheme="minorEastAsia"/>
              <w:noProof/>
              <w:sz w:val="22"/>
              <w:szCs w:val="22"/>
              <w:lang w:val="en-CA" w:eastAsia="en-CA"/>
            </w:rPr>
          </w:pPr>
          <w:hyperlink w:anchor="_Toc31886199" w:history="1">
            <w:r w:rsidR="00F170A5" w:rsidRPr="00B37E90">
              <w:rPr>
                <w:rStyle w:val="Hyperlink"/>
                <w:noProof/>
                <w:lang w:val="de-DE"/>
              </w:rPr>
              <w:t>(3) Nichttun als Unterlassen: enkrateia</w:t>
            </w:r>
            <w:r w:rsidR="00F170A5">
              <w:rPr>
                <w:noProof/>
                <w:webHidden/>
              </w:rPr>
              <w:tab/>
            </w:r>
            <w:r w:rsidR="00F170A5">
              <w:rPr>
                <w:noProof/>
                <w:webHidden/>
              </w:rPr>
              <w:fldChar w:fldCharType="begin"/>
            </w:r>
            <w:r w:rsidR="00F170A5">
              <w:rPr>
                <w:noProof/>
                <w:webHidden/>
              </w:rPr>
              <w:instrText xml:space="preserve"> PAGEREF _Toc31886199 \h </w:instrText>
            </w:r>
            <w:r w:rsidR="00F170A5">
              <w:rPr>
                <w:noProof/>
                <w:webHidden/>
              </w:rPr>
            </w:r>
            <w:r w:rsidR="00F170A5">
              <w:rPr>
                <w:noProof/>
                <w:webHidden/>
              </w:rPr>
              <w:fldChar w:fldCharType="separate"/>
            </w:r>
            <w:r>
              <w:rPr>
                <w:noProof/>
                <w:webHidden/>
              </w:rPr>
              <w:t>13</w:t>
            </w:r>
            <w:r w:rsidR="00F170A5">
              <w:rPr>
                <w:noProof/>
                <w:webHidden/>
              </w:rPr>
              <w:fldChar w:fldCharType="end"/>
            </w:r>
          </w:hyperlink>
        </w:p>
        <w:p w:rsidR="00F170A5" w:rsidRDefault="002562CE">
          <w:pPr>
            <w:pStyle w:val="TOC1"/>
            <w:tabs>
              <w:tab w:val="right" w:leader="dot" w:pos="9350"/>
            </w:tabs>
            <w:rPr>
              <w:rFonts w:eastAsiaTheme="minorEastAsia"/>
              <w:noProof/>
              <w:sz w:val="22"/>
              <w:szCs w:val="22"/>
              <w:lang w:val="en-CA" w:eastAsia="en-CA"/>
            </w:rPr>
          </w:pPr>
          <w:hyperlink w:anchor="_Toc31886200" w:history="1">
            <w:r w:rsidR="00F170A5" w:rsidRPr="00B37E90">
              <w:rPr>
                <w:rStyle w:val="Hyperlink"/>
                <w:noProof/>
                <w:lang w:val="de-DE"/>
              </w:rPr>
              <w:t>(4) Nichttun als Unterlassen: ziviler Ungehorsam</w:t>
            </w:r>
            <w:r w:rsidR="00F170A5">
              <w:rPr>
                <w:noProof/>
                <w:webHidden/>
              </w:rPr>
              <w:tab/>
            </w:r>
            <w:r w:rsidR="00F170A5">
              <w:rPr>
                <w:noProof/>
                <w:webHidden/>
              </w:rPr>
              <w:fldChar w:fldCharType="begin"/>
            </w:r>
            <w:r w:rsidR="00F170A5">
              <w:rPr>
                <w:noProof/>
                <w:webHidden/>
              </w:rPr>
              <w:instrText xml:space="preserve"> PAGEREF _Toc31886200 \h </w:instrText>
            </w:r>
            <w:r w:rsidR="00F170A5">
              <w:rPr>
                <w:noProof/>
                <w:webHidden/>
              </w:rPr>
            </w:r>
            <w:r w:rsidR="00F170A5">
              <w:rPr>
                <w:noProof/>
                <w:webHidden/>
              </w:rPr>
              <w:fldChar w:fldCharType="separate"/>
            </w:r>
            <w:r>
              <w:rPr>
                <w:noProof/>
                <w:webHidden/>
              </w:rPr>
              <w:t>15</w:t>
            </w:r>
            <w:r w:rsidR="00F170A5">
              <w:rPr>
                <w:noProof/>
                <w:webHidden/>
              </w:rPr>
              <w:fldChar w:fldCharType="end"/>
            </w:r>
          </w:hyperlink>
        </w:p>
        <w:p w:rsidR="00F170A5" w:rsidRDefault="002562CE">
          <w:pPr>
            <w:pStyle w:val="TOC1"/>
            <w:tabs>
              <w:tab w:val="right" w:leader="dot" w:pos="9350"/>
            </w:tabs>
            <w:rPr>
              <w:rFonts w:eastAsiaTheme="minorEastAsia"/>
              <w:noProof/>
              <w:sz w:val="22"/>
              <w:szCs w:val="22"/>
              <w:lang w:val="en-CA" w:eastAsia="en-CA"/>
            </w:rPr>
          </w:pPr>
          <w:hyperlink w:anchor="_Toc31886201" w:history="1">
            <w:r w:rsidR="00F170A5" w:rsidRPr="00B37E90">
              <w:rPr>
                <w:rStyle w:val="Hyperlink"/>
                <w:noProof/>
                <w:lang w:val="de-DE"/>
              </w:rPr>
              <w:t>(5) Nichttun als Gewaehrenlassen: wu wei</w:t>
            </w:r>
            <w:r w:rsidR="00F170A5">
              <w:rPr>
                <w:noProof/>
                <w:webHidden/>
              </w:rPr>
              <w:tab/>
            </w:r>
            <w:r w:rsidR="00F170A5">
              <w:rPr>
                <w:noProof/>
                <w:webHidden/>
              </w:rPr>
              <w:fldChar w:fldCharType="begin"/>
            </w:r>
            <w:r w:rsidR="00F170A5">
              <w:rPr>
                <w:noProof/>
                <w:webHidden/>
              </w:rPr>
              <w:instrText xml:space="preserve"> PAGEREF _Toc31886201 \h </w:instrText>
            </w:r>
            <w:r w:rsidR="00F170A5">
              <w:rPr>
                <w:noProof/>
                <w:webHidden/>
              </w:rPr>
            </w:r>
            <w:r w:rsidR="00F170A5">
              <w:rPr>
                <w:noProof/>
                <w:webHidden/>
              </w:rPr>
              <w:fldChar w:fldCharType="separate"/>
            </w:r>
            <w:r>
              <w:rPr>
                <w:noProof/>
                <w:webHidden/>
              </w:rPr>
              <w:t>16</w:t>
            </w:r>
            <w:r w:rsidR="00F170A5">
              <w:rPr>
                <w:noProof/>
                <w:webHidden/>
              </w:rPr>
              <w:fldChar w:fldCharType="end"/>
            </w:r>
          </w:hyperlink>
        </w:p>
        <w:p w:rsidR="00F170A5" w:rsidRDefault="002562CE">
          <w:pPr>
            <w:pStyle w:val="TOC1"/>
            <w:tabs>
              <w:tab w:val="right" w:leader="dot" w:pos="9350"/>
            </w:tabs>
            <w:rPr>
              <w:rFonts w:eastAsiaTheme="minorEastAsia"/>
              <w:noProof/>
              <w:sz w:val="22"/>
              <w:szCs w:val="22"/>
              <w:lang w:val="en-CA" w:eastAsia="en-CA"/>
            </w:rPr>
          </w:pPr>
          <w:hyperlink w:anchor="_Toc31886202" w:history="1">
            <w:r w:rsidR="00F170A5" w:rsidRPr="00B37E90">
              <w:rPr>
                <w:rStyle w:val="Hyperlink"/>
                <w:noProof/>
                <w:lang w:val="de-DE"/>
              </w:rPr>
              <w:t>(6) Nichttun als Einhalten und Besinnen: metanoia</w:t>
            </w:r>
            <w:r w:rsidR="00F170A5">
              <w:rPr>
                <w:noProof/>
                <w:webHidden/>
              </w:rPr>
              <w:tab/>
            </w:r>
            <w:r w:rsidR="00F170A5">
              <w:rPr>
                <w:noProof/>
                <w:webHidden/>
              </w:rPr>
              <w:fldChar w:fldCharType="begin"/>
            </w:r>
            <w:r w:rsidR="00F170A5">
              <w:rPr>
                <w:noProof/>
                <w:webHidden/>
              </w:rPr>
              <w:instrText xml:space="preserve"> PAGEREF _Toc31886202 \h </w:instrText>
            </w:r>
            <w:r w:rsidR="00F170A5">
              <w:rPr>
                <w:noProof/>
                <w:webHidden/>
              </w:rPr>
            </w:r>
            <w:r w:rsidR="00F170A5">
              <w:rPr>
                <w:noProof/>
                <w:webHidden/>
              </w:rPr>
              <w:fldChar w:fldCharType="separate"/>
            </w:r>
            <w:r>
              <w:rPr>
                <w:noProof/>
                <w:webHidden/>
              </w:rPr>
              <w:t>24</w:t>
            </w:r>
            <w:r w:rsidR="00F170A5">
              <w:rPr>
                <w:noProof/>
                <w:webHidden/>
              </w:rPr>
              <w:fldChar w:fldCharType="end"/>
            </w:r>
          </w:hyperlink>
        </w:p>
        <w:p w:rsidR="00F170A5" w:rsidRDefault="002562CE">
          <w:pPr>
            <w:pStyle w:val="TOC1"/>
            <w:tabs>
              <w:tab w:val="right" w:leader="dot" w:pos="9350"/>
            </w:tabs>
            <w:rPr>
              <w:rFonts w:eastAsiaTheme="minorEastAsia"/>
              <w:noProof/>
              <w:sz w:val="22"/>
              <w:szCs w:val="22"/>
              <w:lang w:val="en-CA" w:eastAsia="en-CA"/>
            </w:rPr>
          </w:pPr>
          <w:hyperlink w:anchor="_Toc31886203" w:history="1">
            <w:r w:rsidR="00F170A5" w:rsidRPr="00B37E90">
              <w:rPr>
                <w:rStyle w:val="Hyperlink"/>
                <w:noProof/>
                <w:lang w:val="de-DE"/>
              </w:rPr>
              <w:t>(7) Nichttun und freudige Dankbarkeit</w:t>
            </w:r>
            <w:r w:rsidR="00F170A5">
              <w:rPr>
                <w:noProof/>
                <w:webHidden/>
              </w:rPr>
              <w:tab/>
            </w:r>
            <w:r w:rsidR="00F170A5">
              <w:rPr>
                <w:noProof/>
                <w:webHidden/>
              </w:rPr>
              <w:fldChar w:fldCharType="begin"/>
            </w:r>
            <w:r w:rsidR="00F170A5">
              <w:rPr>
                <w:noProof/>
                <w:webHidden/>
              </w:rPr>
              <w:instrText xml:space="preserve"> PAGEREF _Toc31886203 \h </w:instrText>
            </w:r>
            <w:r w:rsidR="00F170A5">
              <w:rPr>
                <w:noProof/>
                <w:webHidden/>
              </w:rPr>
            </w:r>
            <w:r w:rsidR="00F170A5">
              <w:rPr>
                <w:noProof/>
                <w:webHidden/>
              </w:rPr>
              <w:fldChar w:fldCharType="separate"/>
            </w:r>
            <w:r>
              <w:rPr>
                <w:noProof/>
                <w:webHidden/>
              </w:rPr>
              <w:t>25</w:t>
            </w:r>
            <w:r w:rsidR="00F170A5">
              <w:rPr>
                <w:noProof/>
                <w:webHidden/>
              </w:rPr>
              <w:fldChar w:fldCharType="end"/>
            </w:r>
          </w:hyperlink>
        </w:p>
        <w:p w:rsidR="00FC2E0F" w:rsidRDefault="00FC2E0F">
          <w:r>
            <w:rPr>
              <w:b/>
              <w:bCs/>
              <w:noProof/>
            </w:rPr>
            <w:fldChar w:fldCharType="end"/>
          </w:r>
        </w:p>
      </w:sdtContent>
    </w:sdt>
    <w:p w:rsidR="00FC2E0F" w:rsidRDefault="00FC2E0F">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2562CE" w:rsidRDefault="002562CE">
      <w:pPr>
        <w:rPr>
          <w:lang w:val="de-DE"/>
        </w:rPr>
      </w:pPr>
    </w:p>
    <w:p w:rsidR="00FC2E0F" w:rsidRDefault="00C63588">
      <w:pPr>
        <w:rPr>
          <w:lang w:val="de-DE"/>
        </w:rPr>
      </w:pPr>
      <w:r>
        <w:rPr>
          <w:lang w:val="de-DE"/>
        </w:rPr>
        <w:lastRenderedPageBreak/>
        <w:t>Das Baconsche Programm</w:t>
      </w:r>
    </w:p>
    <w:p w:rsidR="00C63588" w:rsidRDefault="00C63588">
      <w:pPr>
        <w:rPr>
          <w:lang w:val="de-DE"/>
        </w:rPr>
      </w:pPr>
      <w:r>
        <w:rPr>
          <w:lang w:val="de-DE"/>
        </w:rPr>
        <w:t>--These 1: das Wissen habe nuetzlich zu sein</w:t>
      </w:r>
    </w:p>
    <w:p w:rsidR="00C63588" w:rsidRDefault="00C63588">
      <w:pPr>
        <w:rPr>
          <w:lang w:val="de-DE"/>
        </w:rPr>
      </w:pPr>
      <w:r w:rsidRPr="00C63588">
        <w:rPr>
          <w:lang w:val="de-DE"/>
        </w:rPr>
        <w:sym w:font="Wingdings" w:char="F0E0"/>
      </w:r>
      <w:r>
        <w:rPr>
          <w:lang w:val="de-DE"/>
        </w:rPr>
        <w:t xml:space="preserve"> hiermit richtet sich Bacon gegen die antike-mittelalterliche Tradition, </w:t>
      </w:r>
      <w:r w:rsidR="00484BEC">
        <w:rPr>
          <w:lang w:val="de-DE"/>
        </w:rPr>
        <w:t xml:space="preserve">welche auf Aristoteles‘ Autarkie-Argument zurueckgeht: das Wissen ist dann wertvoll, wenn es um seiner selbst willen erstrebt wird, alles andere ist unfrei (entweder Handlungswissen oder Herstellungswissen); fuer Bacon ist Wissenschaft nur dann sinnvoll, wenn sie angewandet werden kann, um im Leben nuetzlich zu sein – Naturwissenschaft und Technik als Paradigma, spekulativ mag fuer sich sein, ist aber daher dann, unter den veraenderten Vorzeichen, leer: leeres Spekulieren &amp; abstrakt </w:t>
      </w:r>
    </w:p>
    <w:p w:rsidR="00C63588" w:rsidRDefault="00C63588">
      <w:pPr>
        <w:rPr>
          <w:lang w:val="de-DE"/>
        </w:rPr>
      </w:pPr>
      <w:r>
        <w:rPr>
          <w:lang w:val="de-DE"/>
        </w:rPr>
        <w:t>Der Positivismus</w:t>
      </w:r>
    </w:p>
    <w:p w:rsidR="00C63588" w:rsidRDefault="00C63588">
      <w:pPr>
        <w:rPr>
          <w:lang w:val="de-DE"/>
        </w:rPr>
      </w:pPr>
      <w:r>
        <w:rPr>
          <w:lang w:val="de-DE"/>
        </w:rPr>
        <w:t xml:space="preserve">--These 2: allein Tatsachen koennen Wissen sein, die Gegenstaende in Platos Ideenhimmel und die Aristotelische theoria sind keine Erkenntnisse, sondern Hirngespinste (sie existieren nicht, allein die Tatsachen der sinnlichen Wahrnehmung existert) </w:t>
      </w:r>
    </w:p>
    <w:p w:rsidR="00C63588" w:rsidRDefault="00C63588">
      <w:pPr>
        <w:rPr>
          <w:lang w:val="de-DE"/>
        </w:rPr>
      </w:pPr>
      <w:r>
        <w:rPr>
          <w:lang w:val="de-DE"/>
        </w:rPr>
        <w:t xml:space="preserve">--These 3: Naturwissenschaften und Technik </w:t>
      </w:r>
      <w:r w:rsidR="00916AAC">
        <w:rPr>
          <w:lang w:val="de-DE"/>
        </w:rPr>
        <w:t xml:space="preserve">allein sind sinnvolle Beschaeftigungsweisen </w:t>
      </w:r>
    </w:p>
    <w:p w:rsidR="00C63588" w:rsidRDefault="00C63588">
      <w:pPr>
        <w:rPr>
          <w:lang w:val="de-DE"/>
        </w:rPr>
      </w:pPr>
    </w:p>
    <w:p w:rsidR="00FC2E0F" w:rsidRDefault="00FC2E0F">
      <w:pPr>
        <w:rPr>
          <w:lang w:val="de-DE"/>
        </w:rPr>
      </w:pPr>
    </w:p>
    <w:p w:rsidR="00381F0E" w:rsidRPr="009C3553" w:rsidRDefault="00D36AB7">
      <w:pPr>
        <w:rPr>
          <w:b/>
          <w:lang w:val="de-DE"/>
        </w:rPr>
      </w:pPr>
      <w:r>
        <w:rPr>
          <w:b/>
          <w:lang w:val="de-DE"/>
        </w:rPr>
        <w:t xml:space="preserve">(1) </w:t>
      </w:r>
      <w:r w:rsidR="00381F0E" w:rsidRPr="009C3553">
        <w:rPr>
          <w:b/>
          <w:lang w:val="de-DE"/>
        </w:rPr>
        <w:t>Nichttun</w:t>
      </w:r>
      <w:r>
        <w:rPr>
          <w:b/>
          <w:lang w:val="de-DE"/>
        </w:rPr>
        <w:t xml:space="preserve"> als Unterlassen </w:t>
      </w:r>
    </w:p>
    <w:p w:rsidR="00381F0E" w:rsidRDefault="00381F0E">
      <w:pPr>
        <w:rPr>
          <w:lang w:val="de-DE"/>
        </w:rPr>
      </w:pPr>
      <w:r>
        <w:rPr>
          <w:lang w:val="de-DE"/>
        </w:rPr>
        <w:t>Bacon, Comte, Zola</w:t>
      </w:r>
    </w:p>
    <w:p w:rsidR="00381F0E" w:rsidRDefault="00381F0E">
      <w:pPr>
        <w:rPr>
          <w:lang w:val="de-DE"/>
        </w:rPr>
      </w:pPr>
      <w:r>
        <w:rPr>
          <w:lang w:val="de-DE"/>
        </w:rPr>
        <w:t xml:space="preserve">Wissenschaft, Technik, Arbeit </w:t>
      </w:r>
    </w:p>
    <w:p w:rsidR="00381F0E" w:rsidRDefault="00381F0E">
      <w:pPr>
        <w:rPr>
          <w:lang w:val="de-DE"/>
        </w:rPr>
      </w:pPr>
      <w:r>
        <w:rPr>
          <w:lang w:val="de-DE"/>
        </w:rPr>
        <w:t xml:space="preserve">Beurteilung der Idee </w:t>
      </w:r>
    </w:p>
    <w:p w:rsidR="00381F0E" w:rsidRDefault="00381F0E" w:rsidP="00381F0E">
      <w:pPr>
        <w:pStyle w:val="ListParagraph"/>
        <w:numPr>
          <w:ilvl w:val="0"/>
          <w:numId w:val="1"/>
        </w:numPr>
        <w:rPr>
          <w:lang w:val="de-DE"/>
        </w:rPr>
      </w:pPr>
      <w:r>
        <w:rPr>
          <w:lang w:val="de-DE"/>
        </w:rPr>
        <w:t>Durch Zola und Comte</w:t>
      </w:r>
    </w:p>
    <w:p w:rsidR="00381F0E" w:rsidRDefault="00381F0E" w:rsidP="00381F0E">
      <w:pPr>
        <w:pStyle w:val="ListParagraph"/>
        <w:numPr>
          <w:ilvl w:val="0"/>
          <w:numId w:val="1"/>
        </w:numPr>
        <w:rPr>
          <w:lang w:val="de-DE"/>
        </w:rPr>
      </w:pPr>
      <w:r>
        <w:rPr>
          <w:lang w:val="de-DE"/>
        </w:rPr>
        <w:t>Durch Tolstoi</w:t>
      </w:r>
    </w:p>
    <w:p w:rsidR="00381F0E" w:rsidRDefault="00381F0E" w:rsidP="00381F0E">
      <w:pPr>
        <w:rPr>
          <w:lang w:val="de-DE"/>
        </w:rPr>
      </w:pPr>
      <w:r>
        <w:rPr>
          <w:lang w:val="de-DE"/>
        </w:rPr>
        <w:t>Idee, Platonismus, Neinsagenkoennen</w:t>
      </w:r>
    </w:p>
    <w:p w:rsidR="00381F0E" w:rsidRDefault="00381F0E" w:rsidP="00381F0E">
      <w:pPr>
        <w:rPr>
          <w:lang w:val="de-DE"/>
        </w:rPr>
      </w:pPr>
      <w:r>
        <w:rPr>
          <w:lang w:val="de-DE"/>
        </w:rPr>
        <w:t>Nichttun: nicht tun, was nicht getan werden darf (Unterlassen 1: Bergpredigt)</w:t>
      </w:r>
    </w:p>
    <w:p w:rsidR="00381F0E" w:rsidRDefault="00381F0E" w:rsidP="00381F0E">
      <w:pPr>
        <w:rPr>
          <w:lang w:val="de-DE"/>
        </w:rPr>
      </w:pPr>
      <w:r>
        <w:rPr>
          <w:lang w:val="de-DE"/>
        </w:rPr>
        <w:t xml:space="preserve">Nichttun: nicht tun, was nicht getan werden muss (Unterlassen 2: akrasia, enkrateia, Streik, ziviler Ungehorsam) </w:t>
      </w:r>
    </w:p>
    <w:p w:rsidR="00D36AB7" w:rsidRDefault="00D36AB7" w:rsidP="00381F0E">
      <w:pPr>
        <w:rPr>
          <w:lang w:val="de-DE"/>
        </w:rPr>
      </w:pPr>
    </w:p>
    <w:p w:rsidR="00D36AB7" w:rsidRPr="00D36AB7" w:rsidRDefault="00D36AB7" w:rsidP="00381F0E">
      <w:pPr>
        <w:rPr>
          <w:b/>
          <w:lang w:val="de-DE"/>
        </w:rPr>
      </w:pPr>
      <w:r w:rsidRPr="00D36AB7">
        <w:rPr>
          <w:b/>
          <w:lang w:val="de-DE"/>
        </w:rPr>
        <w:t>(2) Nichttun als Gewaehrenlassen</w:t>
      </w:r>
    </w:p>
    <w:p w:rsidR="00381F0E" w:rsidRDefault="00381F0E" w:rsidP="00381F0E">
      <w:pPr>
        <w:rPr>
          <w:lang w:val="de-DE"/>
        </w:rPr>
      </w:pPr>
      <w:r>
        <w:rPr>
          <w:lang w:val="de-DE"/>
        </w:rPr>
        <w:t>Nichttun: nicht tun, sondern zulassen (Gewaehrenlassen)</w:t>
      </w:r>
    </w:p>
    <w:p w:rsidR="00381F0E" w:rsidRDefault="00381F0E" w:rsidP="00381F0E">
      <w:pPr>
        <w:rPr>
          <w:lang w:val="de-DE"/>
        </w:rPr>
      </w:pPr>
    </w:p>
    <w:p w:rsidR="00381F0E" w:rsidRPr="009C3553" w:rsidRDefault="00D36AB7" w:rsidP="00381F0E">
      <w:pPr>
        <w:rPr>
          <w:b/>
          <w:lang w:val="de-DE"/>
        </w:rPr>
      </w:pPr>
      <w:r>
        <w:rPr>
          <w:b/>
          <w:lang w:val="de-DE"/>
        </w:rPr>
        <w:t xml:space="preserve">(3) Nichttun als Einhalten und Besinnen  </w:t>
      </w:r>
    </w:p>
    <w:p w:rsidR="00381F0E" w:rsidRPr="00381F0E" w:rsidRDefault="00381F0E" w:rsidP="00381F0E">
      <w:pPr>
        <w:rPr>
          <w:lang w:val="de-DE"/>
        </w:rPr>
      </w:pPr>
      <w:r>
        <w:rPr>
          <w:lang w:val="de-DE"/>
        </w:rPr>
        <w:t xml:space="preserve">Nichttun als Antwort auf die Vorstellung, man koenne alle Probleme selbst und durch Handeln loesen, nein, denn die Loesung ist nicht immer das Handeln, sondern die Einsicht, die Weisheit </w:t>
      </w:r>
    </w:p>
    <w:p w:rsidR="00381F0E" w:rsidRDefault="00381F0E">
      <w:pPr>
        <w:rPr>
          <w:lang w:val="de-DE"/>
        </w:rPr>
      </w:pPr>
    </w:p>
    <w:p w:rsidR="00381F0E" w:rsidRDefault="00381F0E">
      <w:pPr>
        <w:rPr>
          <w:lang w:val="de-DE"/>
        </w:rPr>
      </w:pPr>
    </w:p>
    <w:p w:rsidR="00D36AB7" w:rsidRPr="009C3553" w:rsidRDefault="00D36AB7" w:rsidP="00C5222E">
      <w:pPr>
        <w:pStyle w:val="Heading1"/>
        <w:rPr>
          <w:lang w:val="de-DE"/>
        </w:rPr>
      </w:pPr>
      <w:bookmarkStart w:id="0" w:name="_Toc31886193"/>
      <w:r>
        <w:rPr>
          <w:lang w:val="de-DE"/>
        </w:rPr>
        <w:t xml:space="preserve">(1) </w:t>
      </w:r>
      <w:r w:rsidR="00067543">
        <w:rPr>
          <w:lang w:val="de-DE"/>
        </w:rPr>
        <w:t>Positivismus</w:t>
      </w:r>
      <w:r>
        <w:rPr>
          <w:lang w:val="de-DE"/>
        </w:rPr>
        <w:t xml:space="preserve"> </w:t>
      </w:r>
      <w:r w:rsidR="003004B7">
        <w:rPr>
          <w:lang w:val="de-DE"/>
        </w:rPr>
        <w:t>und Naturalismus</w:t>
      </w:r>
      <w:bookmarkEnd w:id="0"/>
      <w:r w:rsidR="003004B7">
        <w:rPr>
          <w:lang w:val="de-DE"/>
        </w:rPr>
        <w:t xml:space="preserve"> </w:t>
      </w:r>
    </w:p>
    <w:p w:rsidR="0093386C" w:rsidRDefault="0093386C">
      <w:pPr>
        <w:rPr>
          <w:lang w:val="de-DE"/>
        </w:rPr>
      </w:pPr>
    </w:p>
    <w:p w:rsidR="00713E0B" w:rsidRDefault="00F5250B">
      <w:pPr>
        <w:rPr>
          <w:lang w:val="de-DE"/>
        </w:rPr>
      </w:pPr>
      <w:r>
        <w:rPr>
          <w:lang w:val="de-DE"/>
        </w:rPr>
        <w:t>In der Philosophie Auguste Comtes, dem Begruender des Positivismus, kommen zwei wichtige Traditionsstraenge zusammen, die bis heute dominierend sind: der Utilitarismus und die Metaphysik</w:t>
      </w:r>
      <w:r w:rsidR="00713E0B">
        <w:rPr>
          <w:lang w:val="de-DE"/>
        </w:rPr>
        <w:t>- bzw. Ideen</w:t>
      </w:r>
      <w:r>
        <w:rPr>
          <w:lang w:val="de-DE"/>
        </w:rPr>
        <w:t xml:space="preserve">feindlichkeit. </w:t>
      </w:r>
      <w:r w:rsidR="003004B7">
        <w:rPr>
          <w:lang w:val="de-DE"/>
        </w:rPr>
        <w:t>Damit wird die klassische philosophische Hierarchie des Wissens, zurueckgehend auf Platon und Aristoteles und im Mittelalter vorherrschend, auf den Kopf gestellt. Fuer Aristoteles war die hoechste Form des Wissens die Erkenntnis der</w:t>
      </w:r>
      <w:r w:rsidR="00F57142">
        <w:rPr>
          <w:lang w:val="de-DE"/>
        </w:rPr>
        <w:t xml:space="preserve"> „</w:t>
      </w:r>
      <w:r w:rsidR="003004B7">
        <w:rPr>
          <w:lang w:val="de-DE"/>
        </w:rPr>
        <w:t xml:space="preserve">ersten Ursachen und Prinzipien“, das </w:t>
      </w:r>
      <w:r w:rsidR="00F57142">
        <w:rPr>
          <w:lang w:val="de-DE"/>
        </w:rPr>
        <w:t xml:space="preserve">„etwas Ewiges und Unveraenderliches“. </w:t>
      </w:r>
      <w:r w:rsidR="006D17E5">
        <w:rPr>
          <w:lang w:val="de-DE"/>
        </w:rPr>
        <w:t xml:space="preserve">Die Wissenschaften, welche sich mit dem Ewigen und Unveraenderlichen beschaeftigen, werden schauende </w:t>
      </w:r>
      <w:r w:rsidR="006D17E5">
        <w:rPr>
          <w:lang w:val="de-DE"/>
        </w:rPr>
        <w:lastRenderedPageBreak/>
        <w:t xml:space="preserve">Wissenschaften oder spekulative (spekulativ geht zurueck auf die lateinische Uebersetzung fuer theoria, welche auch mit kontemplativ uebersetzt werden kann) genannt. </w:t>
      </w:r>
    </w:p>
    <w:p w:rsidR="00F57142" w:rsidRDefault="00713E0B">
      <w:pPr>
        <w:rPr>
          <w:lang w:val="de-DE"/>
        </w:rPr>
      </w:pPr>
      <w:r>
        <w:rPr>
          <w:lang w:val="de-DE"/>
        </w:rPr>
        <w:t xml:space="preserve">Die Metaphysik ist frei, weil sie keinen anderen Nutzen hat als eben das Goettliche zu wissen, sich anzueignen. </w:t>
      </w:r>
    </w:p>
    <w:p w:rsidR="006D17E5" w:rsidRDefault="006D17E5">
      <w:pPr>
        <w:rPr>
          <w:lang w:val="de-DE"/>
        </w:rPr>
      </w:pPr>
    </w:p>
    <w:p w:rsidR="006D17E5" w:rsidRDefault="005309FD">
      <w:pPr>
        <w:rPr>
          <w:lang w:val="de-DE"/>
        </w:rPr>
      </w:pPr>
      <w:r w:rsidRPr="005309FD">
        <w:rPr>
          <w:b/>
          <w:lang w:val="de-DE"/>
        </w:rPr>
        <w:t>Utilitarismus</w:t>
      </w:r>
      <w:r>
        <w:rPr>
          <w:lang w:val="de-DE"/>
        </w:rPr>
        <w:t xml:space="preserve"> : Kritik an der Aristotelischen Wissenschaftshierarchie und dem Ideal der </w:t>
      </w:r>
      <w:r w:rsidRPr="00DC4591">
        <w:rPr>
          <w:i/>
          <w:lang w:val="de-DE"/>
        </w:rPr>
        <w:t>theoria</w:t>
      </w:r>
    </w:p>
    <w:p w:rsidR="00DF1570" w:rsidRDefault="00DC4591">
      <w:pPr>
        <w:rPr>
          <w:lang w:val="de-DE"/>
        </w:rPr>
      </w:pPr>
      <w:r w:rsidRPr="005309FD">
        <w:rPr>
          <w:b/>
          <w:lang w:val="de-DE"/>
        </w:rPr>
        <w:t>Dreistadiengesetz</w:t>
      </w:r>
      <w:r>
        <w:rPr>
          <w:lang w:val="de-DE"/>
        </w:rPr>
        <w:t xml:space="preserve"> : versucht sich an einer Erzählung dieses Sachverhalts (Aristoteles hatte das Herstellungswissen als das unterste Wissen verstanden, gefolgt vom Handlungswissen, an der Spitze das autarke Erkennen der ewig-gültigen Gesetze des Lebens – Comte kehrt die Hierarchisierung um: das Nützliche ist nun das Höchste, und die Entwicklung hin zum Nützlichen ist </w:t>
      </w:r>
      <w:r w:rsidRPr="005309FD">
        <w:rPr>
          <w:b/>
          <w:lang w:val="de-DE"/>
        </w:rPr>
        <w:t>Fortschritt</w:t>
      </w:r>
      <w:r w:rsidR="00DF1570">
        <w:rPr>
          <w:b/>
          <w:lang w:val="de-DE"/>
        </w:rPr>
        <w:t xml:space="preserve">. </w:t>
      </w:r>
      <w:r w:rsidR="00DF1570" w:rsidRPr="00DF1570">
        <w:rPr>
          <w:lang w:val="de-DE"/>
        </w:rPr>
        <w:t xml:space="preserve">Garant des Fortschritts </w:t>
      </w:r>
      <w:r w:rsidR="00DF1570">
        <w:rPr>
          <w:lang w:val="de-DE"/>
        </w:rPr>
        <w:t>sind</w:t>
      </w:r>
      <w:r w:rsidR="00DF1570" w:rsidRPr="00DF1570">
        <w:rPr>
          <w:lang w:val="de-DE"/>
        </w:rPr>
        <w:t xml:space="preserve"> Wisse</w:t>
      </w:r>
      <w:r w:rsidR="00DF1570">
        <w:rPr>
          <w:lang w:val="de-DE"/>
        </w:rPr>
        <w:t xml:space="preserve">nschaft und Technik. Wendt-Zitat Faust und die Gelehrten werden rausgeschmissen, der Ingenieur regiert. Zolas Utopie in Arbeit: der Apostel Lucas ist ein Ingenieur und die Elektrizität göttlicher Beistand. Die Menschheit wird angebetet. </w:t>
      </w:r>
    </w:p>
    <w:p w:rsidR="00DF1570" w:rsidRDefault="00DF1570">
      <w:pPr>
        <w:rPr>
          <w:lang w:val="de-DE"/>
        </w:rPr>
      </w:pPr>
    </w:p>
    <w:p w:rsidR="005309FD" w:rsidRDefault="00DF1570">
      <w:pPr>
        <w:rPr>
          <w:lang w:val="de-DE"/>
        </w:rPr>
      </w:pPr>
      <w:r>
        <w:rPr>
          <w:lang w:val="de-DE"/>
        </w:rPr>
        <w:t xml:space="preserve">Wie bereits bei Wendt ersichtlich wurde, geht die Verherrlichung des menschlich Machbaren durch Wissenschaft und Technik einher mit einer </w:t>
      </w:r>
      <w:r w:rsidR="005309FD" w:rsidRPr="005309FD">
        <w:rPr>
          <w:b/>
          <w:lang w:val="de-DE"/>
        </w:rPr>
        <w:t>Metaphysik</w:t>
      </w:r>
      <w:r w:rsidR="00DC4591">
        <w:rPr>
          <w:b/>
          <w:lang w:val="de-DE"/>
        </w:rPr>
        <w:t>- bzw. Ideen</w:t>
      </w:r>
      <w:r w:rsidR="005309FD" w:rsidRPr="005309FD">
        <w:rPr>
          <w:b/>
          <w:lang w:val="de-DE"/>
        </w:rPr>
        <w:t>feindlichkeit</w:t>
      </w:r>
      <w:r>
        <w:rPr>
          <w:lang w:val="de-DE"/>
        </w:rPr>
        <w:t xml:space="preserve">. Nicht nur, dass diese Wissenschaften nichts dazu beitragen, was danach höchster Sinn und Zweck menschlichen Daseins ist, die Gegenstände dieser Wissenschaft sind abstrakt, d.h. leer. </w:t>
      </w:r>
      <w:r w:rsidR="005309FD">
        <w:rPr>
          <w:lang w:val="de-DE"/>
        </w:rPr>
        <w:t>Kritik an de</w:t>
      </w:r>
      <w:r w:rsidR="00DC4591">
        <w:rPr>
          <w:lang w:val="de-DE"/>
        </w:rPr>
        <w:t>n ewig gültigen Formen (Aristoteles) oder</w:t>
      </w:r>
      <w:r w:rsidR="005309FD">
        <w:rPr>
          <w:lang w:val="de-DE"/>
        </w:rPr>
        <w:t xml:space="preserve"> Platonischen Ideen</w:t>
      </w:r>
      <w:r w:rsidR="00D5784F">
        <w:rPr>
          <w:lang w:val="de-DE"/>
        </w:rPr>
        <w:t xml:space="preserve">. </w:t>
      </w:r>
    </w:p>
    <w:p w:rsidR="00D5784F" w:rsidRDefault="00D5784F">
      <w:pPr>
        <w:rPr>
          <w:lang w:val="de-DE"/>
        </w:rPr>
      </w:pPr>
    </w:p>
    <w:p w:rsidR="00146B7F" w:rsidRDefault="002E61DF">
      <w:pPr>
        <w:rPr>
          <w:lang w:val="de-DE"/>
        </w:rPr>
      </w:pPr>
      <w:r>
        <w:rPr>
          <w:lang w:val="de-DE"/>
        </w:rPr>
        <w:t xml:space="preserve">Folge 1: </w:t>
      </w:r>
      <w:r w:rsidR="00146B7F">
        <w:rPr>
          <w:lang w:val="de-DE"/>
        </w:rPr>
        <w:t>die metaphysische Konsequenz: ohne Gott bleibt allein die Arbeit, um das Universum (die Leere) zu füllenn</w:t>
      </w:r>
    </w:p>
    <w:p w:rsidR="002E61DF" w:rsidRDefault="00146B7F">
      <w:pPr>
        <w:rPr>
          <w:lang w:val="de-DE"/>
        </w:rPr>
      </w:pPr>
      <w:r>
        <w:rPr>
          <w:lang w:val="de-DE"/>
        </w:rPr>
        <w:t>--</w:t>
      </w:r>
      <w:r w:rsidR="002E61DF">
        <w:rPr>
          <w:lang w:val="de-DE"/>
        </w:rPr>
        <w:t xml:space="preserve">ohne Gott und ewig eherne Gesetze, wird das Universum leer und an die Stelle Gottes tritt der Mensch (Aristoteles noch: es gibt Größeres als den Menschen). Der Mensch sieht sich also auf der einen Seite dem Nichts, dem horror vacui ausgesetzt, dem er allein durch Tätigkeit entkommen kann. </w:t>
      </w:r>
    </w:p>
    <w:p w:rsidR="00146B7F" w:rsidRDefault="00146B7F">
      <w:pPr>
        <w:rPr>
          <w:lang w:val="de-DE"/>
        </w:rPr>
      </w:pPr>
    </w:p>
    <w:p w:rsidR="002E61DF" w:rsidRDefault="00146B7F">
      <w:pPr>
        <w:rPr>
          <w:lang w:val="de-DE"/>
        </w:rPr>
      </w:pPr>
      <w:r>
        <w:rPr>
          <w:lang w:val="de-DE"/>
        </w:rPr>
        <w:t>Folge 2: die politischen Konsequenzen: Arbeit für alle, nicht nur als Recht, sondern als Pflicht</w:t>
      </w:r>
    </w:p>
    <w:p w:rsidR="00D5784F" w:rsidRDefault="00146B7F">
      <w:pPr>
        <w:rPr>
          <w:lang w:val="de-DE"/>
        </w:rPr>
      </w:pPr>
      <w:r>
        <w:rPr>
          <w:lang w:val="de-DE"/>
        </w:rPr>
        <w:t>--</w:t>
      </w:r>
      <w:r w:rsidR="002E61DF">
        <w:rPr>
          <w:lang w:val="de-DE"/>
        </w:rPr>
        <w:t xml:space="preserve">Während es bei Aristoteles und Platon noch den wenig Privilegierten vorbehalten war, theoria zu betreiben oder hinter die Schattenbilder in die Sonne zu sehen, so kommt mit dem Positivismus nicht nur eine Aufwertung, ja Verherrlichung des Nützlichen zum Vorschein, sondern vielmehr wird das Primat der Nützlichkeit nicht nur zum Recht des Einzelnen, es wird gar zur Pflicht. So wie die Sphäre der Idee als Chimäre desavouiert wird und die Menschheit die Stelle Gottes einnimmt, so wird der Beitrag des Einzelnen zum Gesamt der Menschheit die Aufgabe und der Sinn. Arbeit wird nicht nur zum Gebet, es wird zur Pflicht – will man sich nicht von allen Sinnzusammenhängen freiwillig ausschließen. Arbeit wird Religion und das Gebet der täglichen Arbeit allererste Bürgerpflicht. Wie bereits Karl Loewith darauf hingewiesen hat: die Mobilmachung der gesamten Gesellschaft unter das Diktat der Arbeit trägt bereits bei Zola totalitäre Züge. </w:t>
      </w:r>
    </w:p>
    <w:p w:rsidR="00D5784F" w:rsidRDefault="00D5784F">
      <w:pPr>
        <w:rPr>
          <w:lang w:val="de-DE"/>
        </w:rPr>
      </w:pPr>
    </w:p>
    <w:p w:rsidR="00D5784F" w:rsidRDefault="00D5784F">
      <w:pPr>
        <w:rPr>
          <w:lang w:val="de-DE"/>
        </w:rPr>
      </w:pPr>
    </w:p>
    <w:p w:rsidR="005309FD" w:rsidRDefault="005309FD">
      <w:pPr>
        <w:rPr>
          <w:lang w:val="de-DE"/>
        </w:rPr>
      </w:pPr>
    </w:p>
    <w:p w:rsidR="006D17E5" w:rsidRDefault="00F142B8">
      <w:pPr>
        <w:rPr>
          <w:lang w:val="de-DE"/>
        </w:rPr>
      </w:pPr>
      <w:r>
        <w:rPr>
          <w:lang w:val="de-DE"/>
        </w:rPr>
        <w:lastRenderedPageBreak/>
        <w:t xml:space="preserve">Die Wissenschaften und Kuenste, welche etwas anderes als sich selbst zum Ziel haben, werden unfrei genannt. Die Umwertung dieser Hierarchie fand bereits im Mittelalter statt (siehe Geschichte der artes liberales), wird dann jedoch von Bacon ins Zentrum gestellt. Damit werden die nicht-spekulativen Wissenschaften und die Technik (artes serviles) in das Zentrum und an oberste Stelle gestellt. </w:t>
      </w:r>
    </w:p>
    <w:p w:rsidR="00F142B8" w:rsidRDefault="00F142B8">
      <w:pPr>
        <w:rPr>
          <w:lang w:val="de-DE"/>
        </w:rPr>
      </w:pPr>
    </w:p>
    <w:p w:rsidR="00F733CB" w:rsidRDefault="0033718A">
      <w:pPr>
        <w:rPr>
          <w:lang w:val="de-DE"/>
        </w:rPr>
      </w:pPr>
      <w:r>
        <w:rPr>
          <w:lang w:val="de-DE"/>
        </w:rPr>
        <w:t>Die Haupteinwaende</w:t>
      </w:r>
      <w:r w:rsidR="00F733CB">
        <w:rPr>
          <w:lang w:val="de-DE"/>
        </w:rPr>
        <w:t xml:space="preserve"> und das Programm des Positivismus</w:t>
      </w:r>
      <w:r>
        <w:rPr>
          <w:lang w:val="de-DE"/>
        </w:rPr>
        <w:t xml:space="preserve"> lauten daher: </w:t>
      </w:r>
    </w:p>
    <w:p w:rsidR="00F733CB" w:rsidRDefault="00F733CB">
      <w:pPr>
        <w:rPr>
          <w:lang w:val="de-DE"/>
        </w:rPr>
      </w:pPr>
    </w:p>
    <w:p w:rsidR="00F733CB" w:rsidRDefault="0033718A">
      <w:pPr>
        <w:rPr>
          <w:lang w:val="de-DE"/>
        </w:rPr>
      </w:pPr>
      <w:r>
        <w:rPr>
          <w:lang w:val="de-DE"/>
        </w:rPr>
        <w:t xml:space="preserve">(1) Wissen muss nuetzlich sein, </w:t>
      </w:r>
    </w:p>
    <w:p w:rsidR="00F733CB" w:rsidRDefault="00F733CB">
      <w:pPr>
        <w:rPr>
          <w:lang w:val="de-DE"/>
        </w:rPr>
      </w:pPr>
    </w:p>
    <w:p w:rsidR="00F733CB" w:rsidRDefault="0033718A">
      <w:pPr>
        <w:rPr>
          <w:lang w:val="de-DE"/>
        </w:rPr>
      </w:pPr>
      <w:r>
        <w:rPr>
          <w:lang w:val="de-DE"/>
        </w:rPr>
        <w:t xml:space="preserve">(2) Wissen muss gewissen objektiven Kriterien </w:t>
      </w:r>
      <w:r w:rsidR="00F733CB">
        <w:rPr>
          <w:lang w:val="de-DE"/>
        </w:rPr>
        <w:t xml:space="preserve">gehorchen. Falls es dies nicht tut, dann ist es: leeres Spekulieren, abstrakt, Scholastik, Mystizismus, Hirngespinste, etc. Wissen muss daher objektiv sein, der Positivismus stuetzt sich daher auf die Beobachtung und das Experiment. </w:t>
      </w:r>
    </w:p>
    <w:p w:rsidR="00F733CB" w:rsidRDefault="00F733CB">
      <w:pPr>
        <w:rPr>
          <w:lang w:val="de-DE"/>
        </w:rPr>
      </w:pPr>
    </w:p>
    <w:p w:rsidR="001F6890" w:rsidRDefault="00F733CB">
      <w:pPr>
        <w:rPr>
          <w:lang w:val="de-DE"/>
        </w:rPr>
      </w:pPr>
      <w:r>
        <w:rPr>
          <w:lang w:val="de-DE"/>
        </w:rPr>
        <w:t xml:space="preserve">(3) Das Wissen macht eine Entwicklung durch, die der Entwicklung des Menschen aehnelt und in drei Epochen eingeteilt werden kann: Kindheit, Jugend, Mannesalter. </w:t>
      </w:r>
      <w:r w:rsidR="001F6890">
        <w:rPr>
          <w:lang w:val="de-DE"/>
        </w:rPr>
        <w:t xml:space="preserve">Religion, Metaphysik und Positivismus (grob: Antike, Mittelalter, Neuzeit). Die Entwicklung ist noch nicht abgeschlossen, erst, wenn alle Wissenschaften positiv geworden sind. </w:t>
      </w:r>
      <w:r w:rsidR="00A65E4D">
        <w:rPr>
          <w:lang w:val="de-DE"/>
        </w:rPr>
        <w:t xml:space="preserve">Fortschritt ist das stete Naeherkommen an das Ideal der Naturbeherrschung zum Wohle der Menschheit. </w:t>
      </w:r>
    </w:p>
    <w:p w:rsidR="001F6890" w:rsidRDefault="001F6890">
      <w:pPr>
        <w:rPr>
          <w:lang w:val="de-DE"/>
        </w:rPr>
      </w:pPr>
    </w:p>
    <w:p w:rsidR="001F6890" w:rsidRDefault="001F6890">
      <w:pPr>
        <w:rPr>
          <w:lang w:val="de-DE"/>
        </w:rPr>
      </w:pPr>
      <w:r>
        <w:rPr>
          <w:lang w:val="de-DE"/>
        </w:rPr>
        <w:t xml:space="preserve">(4) Das menschliche Leben erfuellt sich in der Arbeit, d.h. im Beitrag, sowohl Wissenschaft und Technik zu verbessern als auch an der praktischen Aufgabe der Verbesserung der materialen Bedingungen unserer Existenz. Die Erfuellung, das menschliche Heil ist es, die Menschheit einen Schritt auf dem Weg in die Zukunft des endgueltigen Sinnes ueber die Natur vorangebracht zu haben.  </w:t>
      </w:r>
    </w:p>
    <w:p w:rsidR="001F6890" w:rsidRDefault="001F6890">
      <w:pPr>
        <w:rPr>
          <w:lang w:val="de-DE"/>
        </w:rPr>
      </w:pPr>
    </w:p>
    <w:p w:rsidR="0033718A" w:rsidRDefault="001F6890">
      <w:pPr>
        <w:rPr>
          <w:lang w:val="de-DE"/>
        </w:rPr>
      </w:pPr>
      <w:r>
        <w:rPr>
          <w:lang w:val="de-DE"/>
        </w:rPr>
        <w:t>Wie erfolgreich dieses Programm wurde, laesst sich z.B. an den zahlreichen technikverherrlichendne Schriften ablesen, welche vermehrt in Deutschland nach Beginn der Industrialisierung publiziert wurden.</w:t>
      </w:r>
    </w:p>
    <w:p w:rsidR="00F733CB" w:rsidRDefault="00F733CB">
      <w:pPr>
        <w:rPr>
          <w:lang w:val="de-DE"/>
        </w:rPr>
      </w:pPr>
    </w:p>
    <w:p w:rsidR="001F6890" w:rsidRDefault="001F6890" w:rsidP="001F6890">
      <w:pPr>
        <w:rPr>
          <w:lang w:val="de-DE"/>
        </w:rPr>
      </w:pPr>
      <w:r>
        <w:rPr>
          <w:lang w:val="de-DE"/>
        </w:rPr>
        <w:t xml:space="preserve">„Der alte Goethe kannte den Wert der mechanischen Arbeit. Als er am Abend seines reichen Lebens den zweiten Teil des Faust zu Ende führt, und die Verheißung erfüllten sollte, dem Faust den Augenblick zu geben, zu dem er sagen werde ‚verweile doch, du bist so schön‘, da wußte er keine bessere Lösung zu geben, als durch die technische Arbeit im Dienste des Volkes. </w:t>
      </w:r>
      <w:r w:rsidRPr="00916AAC">
        <w:rPr>
          <w:highlight w:val="yellow"/>
          <w:lang w:val="de-DE"/>
        </w:rPr>
        <w:t>Angeekelt hatte sich Faust abgewandt vom leeren Spekulieren, vom abstrakten Wissen, nach den Brüsten des Lebens sehnte er sich hin</w:t>
      </w:r>
      <w:r>
        <w:rPr>
          <w:lang w:val="de-DE"/>
        </w:rPr>
        <w:t>. Er durchschweifte das Leben und fand nicht den schönen Augenblick, bis er endlich der praktischen Arbeit sich zuwandte und zum Wohl der Menschheit tätig ward. Er dämmte das unfruchtbare Meer zurück und gab dem Volk neues Land. Hier sollten Mensch und Tier die Freude des Lebens genießen. Wenn der Sturm die Fluten peitscht, und sie gierig lecken an dem Damme, dann eilen Alt und Jung hinaus zum Kampfe gegen die wüste, ungezügelte Kraft der Natur. [...] So klingt unsere größte nationale Dichtung aus in eine Verklärung der Arbeit. Der Weise des Altertums sah das Glück in der abstrakten Betrachtung der Welt, der Weise des Mittelalters in dem Vorgefühl himmlischer Freuden, der Weise der Neuzeit in der geistigen Leistung mechanischer Arbeitskraft.</w:t>
      </w:r>
    </w:p>
    <w:p w:rsidR="001F6890" w:rsidRPr="000A083F" w:rsidRDefault="001F6890" w:rsidP="001F6890">
      <w:pPr>
        <w:rPr>
          <w:lang w:val="de-DE"/>
        </w:rPr>
      </w:pPr>
      <w:r>
        <w:rPr>
          <w:lang w:val="de-DE"/>
        </w:rPr>
        <w:lastRenderedPageBreak/>
        <w:t xml:space="preserve">Wer hat am tiefsten geschaut?“ (Wendt, 322) </w:t>
      </w:r>
    </w:p>
    <w:p w:rsidR="001F6890" w:rsidRDefault="001F6890">
      <w:pPr>
        <w:rPr>
          <w:lang w:val="de-DE"/>
        </w:rPr>
      </w:pPr>
    </w:p>
    <w:p w:rsidR="00F5250B" w:rsidRPr="00FF308A" w:rsidRDefault="00F5250B">
      <w:pPr>
        <w:rPr>
          <w:lang w:val="de-DE"/>
        </w:rPr>
      </w:pPr>
    </w:p>
    <w:p w:rsidR="00A47D3D" w:rsidRPr="00FF308A" w:rsidRDefault="00FC2E0F" w:rsidP="00C5222E">
      <w:pPr>
        <w:pStyle w:val="Heading2"/>
        <w:rPr>
          <w:lang w:val="de-DE"/>
        </w:rPr>
      </w:pPr>
      <w:bookmarkStart w:id="1" w:name="_Toc31886194"/>
      <w:r>
        <w:rPr>
          <w:lang w:val="de-DE"/>
        </w:rPr>
        <w:t xml:space="preserve">Das </w:t>
      </w:r>
      <w:r w:rsidR="00A47D3D" w:rsidRPr="00FF308A">
        <w:rPr>
          <w:lang w:val="de-DE"/>
        </w:rPr>
        <w:t>Bacon</w:t>
      </w:r>
      <w:r>
        <w:rPr>
          <w:lang w:val="de-DE"/>
        </w:rPr>
        <w:t>sche Programm</w:t>
      </w:r>
      <w:bookmarkEnd w:id="1"/>
    </w:p>
    <w:p w:rsidR="00A47D3D" w:rsidRDefault="00A47D3D">
      <w:pPr>
        <w:rPr>
          <w:lang w:val="de-DE"/>
        </w:rPr>
      </w:pPr>
    </w:p>
    <w:p w:rsidR="00A47D3D" w:rsidRDefault="00D374BF" w:rsidP="00A47D3D">
      <w:pPr>
        <w:rPr>
          <w:lang w:val="de-DE"/>
        </w:rPr>
      </w:pPr>
      <w:r>
        <w:rPr>
          <w:lang w:val="de-DE"/>
        </w:rPr>
        <w:t>Francis Bacon</w:t>
      </w:r>
      <w:r w:rsidR="004328E1">
        <w:rPr>
          <w:lang w:val="de-DE"/>
        </w:rPr>
        <w:t xml:space="preserve"> war der Ueberzeugung</w:t>
      </w:r>
      <w:r>
        <w:rPr>
          <w:lang w:val="de-DE"/>
        </w:rPr>
        <w:t xml:space="preserve">, </w:t>
      </w:r>
      <w:r w:rsidR="00A47D3D">
        <w:rPr>
          <w:lang w:val="de-DE"/>
        </w:rPr>
        <w:t>„daß wissenschaftlicher und technischer Fortschritt zugleich humaner Fortschritt sei</w:t>
      </w:r>
      <w:r>
        <w:rPr>
          <w:lang w:val="de-DE"/>
        </w:rPr>
        <w:t>.“</w:t>
      </w:r>
      <w:r>
        <w:rPr>
          <w:rStyle w:val="FootnoteReference"/>
          <w:lang w:val="de-DE"/>
        </w:rPr>
        <w:footnoteReference w:id="1"/>
      </w:r>
      <w:r>
        <w:rPr>
          <w:lang w:val="de-DE"/>
        </w:rPr>
        <w:t xml:space="preserve"> Alle menschlichen Bestrebungen sind dem Ziel der materialen Wohlfahrt der Menschheit unterzuordnen, die Wissenschaft muß nützlich sein, so Bacon (utilitas).</w:t>
      </w:r>
      <w:r>
        <w:rPr>
          <w:rStyle w:val="FootnoteReference"/>
          <w:lang w:val="de-DE"/>
        </w:rPr>
        <w:footnoteReference w:id="2"/>
      </w:r>
      <w:r w:rsidR="004328E1">
        <w:rPr>
          <w:lang w:val="de-DE"/>
        </w:rPr>
        <w:t xml:space="preserve"> Daher ist Bacons Programm Utilitarismus. </w:t>
      </w:r>
      <w:r w:rsidR="00F61324">
        <w:rPr>
          <w:lang w:val="de-DE"/>
        </w:rPr>
        <w:t xml:space="preserve">Damit hatte Bacon die von Aristoteles begruendete Hierarchie des Wissens auf den Kopf gestellt. Aristoteles hatte argumentiert, dass der hoechste Wert des Wissens in der Autarkie liege. Der hoechste Wert ist nicht das, dessen Ziel wiederum in etwas anderem liege, sondern in sich selbst. </w:t>
      </w:r>
      <w:r w:rsidR="00687795">
        <w:rPr>
          <w:lang w:val="de-DE"/>
        </w:rPr>
        <w:t xml:space="preserve">Wenn es drei Formen des Wissens gibt: Herstellungswissen, Handlungswissen und Wissen der ersten Ursachen und Prinzipien, dann ist es klar, dass allein das Wissen der Prinzipien um seiner selbst willen erstrebt wird, wie das Autarkie-Argument versucht darzulegen: </w:t>
      </w:r>
    </w:p>
    <w:p w:rsidR="00687795" w:rsidRDefault="00687795" w:rsidP="00A47D3D">
      <w:pPr>
        <w:rPr>
          <w:lang w:val="de-DE"/>
        </w:rPr>
      </w:pPr>
    </w:p>
    <w:p w:rsidR="00687795" w:rsidRDefault="00687795" w:rsidP="00687795">
      <w:pPr>
        <w:rPr>
          <w:rFonts w:ascii="Calibri" w:hAnsi="Calibri" w:cs="Calibri"/>
          <w:lang w:val="de-DE"/>
        </w:rPr>
      </w:pPr>
      <w:r>
        <w:rPr>
          <w:rFonts w:ascii="Calibri" w:hAnsi="Calibri" w:cs="Calibri"/>
          <w:lang w:val="de-DE"/>
        </w:rPr>
        <w:t>„Was wir ‚Autarkie‘ genannt haben, wird sich wohl am meisten bei der betrachtenden Tätigkeit (</w:t>
      </w:r>
      <w:r w:rsidRPr="00757802">
        <w:rPr>
          <w:i/>
          <w:lang w:val="de-DE"/>
        </w:rPr>
        <w:t>the</w:t>
      </w:r>
      <w:r w:rsidRPr="00757802">
        <w:rPr>
          <w:rFonts w:ascii="Calibri" w:hAnsi="Calibri" w:cs="Calibri"/>
          <w:i/>
          <w:lang w:val="de-DE"/>
        </w:rPr>
        <w:t>ô</w:t>
      </w:r>
      <w:r w:rsidRPr="00757802">
        <w:rPr>
          <w:i/>
          <w:lang w:val="de-DE"/>
        </w:rPr>
        <w:t>r</w:t>
      </w:r>
      <w:r w:rsidRPr="00757802">
        <w:rPr>
          <w:rFonts w:ascii="Calibri" w:hAnsi="Calibri" w:cs="Calibri"/>
          <w:i/>
          <w:lang w:val="de-DE"/>
        </w:rPr>
        <w:t>ê</w:t>
      </w:r>
      <w:r w:rsidRPr="00757802">
        <w:rPr>
          <w:i/>
          <w:lang w:val="de-DE"/>
        </w:rPr>
        <w:t>ti</w:t>
      </w:r>
      <w:r>
        <w:rPr>
          <w:i/>
          <w:lang w:val="de-DE"/>
        </w:rPr>
        <w:t>k</w:t>
      </w:r>
      <w:r w:rsidRPr="00757802">
        <w:rPr>
          <w:rFonts w:ascii="Calibri" w:hAnsi="Calibri" w:cs="Calibri"/>
          <w:i/>
          <w:lang w:val="de-DE"/>
        </w:rPr>
        <w:t>ê</w:t>
      </w:r>
      <w:r>
        <w:rPr>
          <w:rFonts w:ascii="Calibri" w:hAnsi="Calibri" w:cs="Calibri"/>
          <w:lang w:val="de-DE"/>
        </w:rPr>
        <w:t>) finden. Denn die lebensnotwendigen Dinge braucht der Weise ebenso wie der Gerechte und die Träger der übrigen Tugenden. Wenn sie aber mit diesen Dingen hinreichend ausgestattet sind, braucht der Gerechte noch Menschen, denen gegenüber und mit denen zusammen er gerecht handeln kann, und dasselbe gilt auch für den Mäßigen, den Tapferen und alle Übrigen. Der Weise hingegen kann auch dann betrachten )</w:t>
      </w:r>
      <w:r w:rsidRPr="00E03D8D">
        <w:rPr>
          <w:rFonts w:ascii="Calibri" w:hAnsi="Calibri" w:cs="Calibri"/>
          <w:lang w:val="de-DE"/>
        </w:rPr>
        <w:t xml:space="preserve"> </w:t>
      </w:r>
      <w:r>
        <w:rPr>
          <w:rFonts w:ascii="Calibri" w:hAnsi="Calibri" w:cs="Calibri"/>
          <w:lang w:val="de-DE"/>
        </w:rPr>
        <w:t>(</w:t>
      </w:r>
      <w:r w:rsidRPr="00757802">
        <w:rPr>
          <w:i/>
          <w:lang w:val="de-DE"/>
        </w:rPr>
        <w:t>the</w:t>
      </w:r>
      <w:r w:rsidRPr="00757802">
        <w:rPr>
          <w:rFonts w:ascii="Calibri" w:hAnsi="Calibri" w:cs="Calibri"/>
          <w:i/>
          <w:lang w:val="de-DE"/>
        </w:rPr>
        <w:t>ô</w:t>
      </w:r>
      <w:r w:rsidRPr="00757802">
        <w:rPr>
          <w:i/>
          <w:lang w:val="de-DE"/>
        </w:rPr>
        <w:t>r</w:t>
      </w:r>
      <w:r>
        <w:rPr>
          <w:rFonts w:ascii="Calibri" w:hAnsi="Calibri" w:cs="Calibri"/>
          <w:i/>
          <w:lang w:val="de-DE"/>
        </w:rPr>
        <w:t>ein</w:t>
      </w:r>
      <w:r>
        <w:rPr>
          <w:rFonts w:ascii="Calibri" w:hAnsi="Calibri" w:cs="Calibri"/>
          <w:lang w:val="de-DE"/>
        </w:rPr>
        <w:t>), wenn er für sich ist, und je weiser er ist, umso mehr. Vielleicht ist es besser, wenn er mit anderen zusammen tätig ist, aber dennoch ist er der am meisten autarke.</w:t>
      </w:r>
    </w:p>
    <w:p w:rsidR="00687795" w:rsidRDefault="00687795" w:rsidP="00687795">
      <w:pPr>
        <w:rPr>
          <w:rFonts w:ascii="Calibri" w:hAnsi="Calibri" w:cs="Calibri"/>
          <w:lang w:val="de-DE"/>
        </w:rPr>
      </w:pPr>
      <w:r>
        <w:rPr>
          <w:rFonts w:ascii="Calibri" w:hAnsi="Calibri" w:cs="Calibri"/>
          <w:lang w:val="de-DE"/>
        </w:rPr>
        <w:t xml:space="preserve">Weiter dürfte gelten, dass allein diese Tätigkeit um ihrer selbst willen geliebt wird. Denn nichts entsteht aus ihr außer dem Betrachten, während wir aus den Tätigkeiten des Handelns außer der Handlung mehr oder weniger Gewinn haben. </w:t>
      </w:r>
    </w:p>
    <w:p w:rsidR="00687795" w:rsidRDefault="00687795" w:rsidP="00687795">
      <w:pPr>
        <w:rPr>
          <w:rFonts w:ascii="Calibri" w:hAnsi="Calibri" w:cs="Calibri"/>
          <w:lang w:val="de-DE"/>
        </w:rPr>
      </w:pPr>
      <w:r>
        <w:rPr>
          <w:rFonts w:ascii="Calibri" w:hAnsi="Calibri" w:cs="Calibri"/>
          <w:lang w:val="de-DE"/>
        </w:rPr>
        <w:t>Weiter nimmt man an, dass das Glück in der Muße (</w:t>
      </w:r>
      <w:r w:rsidRPr="00E03D8D">
        <w:rPr>
          <w:rFonts w:ascii="Calibri" w:hAnsi="Calibri" w:cs="Calibri"/>
          <w:i/>
          <w:lang w:val="de-DE"/>
        </w:rPr>
        <w:t>schol</w:t>
      </w:r>
      <w:r w:rsidRPr="00757802">
        <w:rPr>
          <w:rFonts w:ascii="Calibri" w:hAnsi="Calibri" w:cs="Calibri"/>
          <w:i/>
          <w:lang w:val="de-DE"/>
        </w:rPr>
        <w:t>ê</w:t>
      </w:r>
      <w:r>
        <w:rPr>
          <w:rFonts w:ascii="Calibri" w:hAnsi="Calibri" w:cs="Calibri"/>
          <w:lang w:val="de-DE"/>
        </w:rPr>
        <w:t>) besteht. Denn wir sind geschäftig (</w:t>
      </w:r>
      <w:r w:rsidRPr="00E03D8D">
        <w:rPr>
          <w:rFonts w:ascii="Calibri" w:hAnsi="Calibri" w:cs="Calibri"/>
          <w:i/>
          <w:lang w:val="de-DE"/>
        </w:rPr>
        <w:t>ascholazein</w:t>
      </w:r>
      <w:r>
        <w:rPr>
          <w:rFonts w:ascii="Calibri" w:hAnsi="Calibri" w:cs="Calibri"/>
          <w:lang w:val="de-DE"/>
        </w:rPr>
        <w:t>), um Muße zu haben, und führen Krieg, um in Frieden zu leben.“ (Nikomachische Ethik, 329)</w:t>
      </w:r>
    </w:p>
    <w:p w:rsidR="00687795" w:rsidRDefault="00687795" w:rsidP="00A47D3D">
      <w:pPr>
        <w:rPr>
          <w:lang w:val="de-DE"/>
        </w:rPr>
      </w:pPr>
    </w:p>
    <w:p w:rsidR="00687795" w:rsidRDefault="00687795" w:rsidP="00A47D3D">
      <w:pPr>
        <w:rPr>
          <w:lang w:val="de-DE"/>
        </w:rPr>
      </w:pPr>
      <w:r>
        <w:rPr>
          <w:lang w:val="de-DE"/>
        </w:rPr>
        <w:t>Bacon wollte hingegen etwas Neues: Philosophie sollte „</w:t>
      </w:r>
      <w:r w:rsidR="00A47D3D">
        <w:rPr>
          <w:lang w:val="de-DE"/>
        </w:rPr>
        <w:t>im Dienste der mat</w:t>
      </w:r>
      <w:r>
        <w:rPr>
          <w:lang w:val="de-DE"/>
        </w:rPr>
        <w:t>eriellen Wohlfahrt der Menschen</w:t>
      </w:r>
      <w:r w:rsidR="00A47D3D">
        <w:rPr>
          <w:lang w:val="de-DE"/>
        </w:rPr>
        <w:t>“</w:t>
      </w:r>
      <w:r w:rsidR="00D374BF">
        <w:rPr>
          <w:rStyle w:val="FootnoteReference"/>
          <w:lang w:val="de-DE"/>
        </w:rPr>
        <w:footnoteReference w:id="3"/>
      </w:r>
      <w:r>
        <w:rPr>
          <w:lang w:val="de-DE"/>
        </w:rPr>
        <w:t xml:space="preserve"> stehen. Damit hatte Bacon die Hierarchie, welche die Antike und das Mittelalter beherrschte, auf den Kopf gestellt. Auch wenn wir Bacon als Erneuerer der Philosophie sehen, so hatte sich die Umwertung der Wissenschaften seit dem Mittelalter angekuendigt, was man bei dem Begriff der Technik als „artes mechanicae“ und der Einordnung </w:t>
      </w:r>
      <w:r>
        <w:rPr>
          <w:lang w:val="de-DE"/>
        </w:rPr>
        <w:lastRenderedPageBreak/>
        <w:t>dieses praktischen Wissens in die Wissenschaftsklassifikationen des Mittelalters ablesen kann</w:t>
      </w:r>
      <w:r w:rsidR="00C10876">
        <w:rPr>
          <w:lang w:val="de-DE"/>
        </w:rPr>
        <w:t xml:space="preserve"> (siehe auch Schatzberg: Technology).  </w:t>
      </w:r>
    </w:p>
    <w:p w:rsidR="00687795" w:rsidRDefault="00687795" w:rsidP="00A47D3D">
      <w:pPr>
        <w:rPr>
          <w:lang w:val="de-DE"/>
        </w:rPr>
      </w:pPr>
    </w:p>
    <w:p w:rsidR="00A47D3D" w:rsidRDefault="00D374BF" w:rsidP="00A47D3D">
      <w:pPr>
        <w:rPr>
          <w:lang w:val="de-DE"/>
        </w:rPr>
      </w:pPr>
      <w:r>
        <w:rPr>
          <w:lang w:val="de-DE"/>
        </w:rPr>
        <w:t>Während es bei Bacon jedoch immer wieder Ambivalenzen in seinem Werk auftauchen, die nahelegen, dass er nicht nur Utilitarist war, sondern auch das kontemplative Ideal immer wieder in sein Recht setzte,</w:t>
      </w:r>
      <w:r w:rsidR="00AB7B08">
        <w:rPr>
          <w:rStyle w:val="FootnoteReference"/>
          <w:lang w:val="de-DE"/>
        </w:rPr>
        <w:footnoteReference w:id="4"/>
      </w:r>
      <w:r>
        <w:rPr>
          <w:lang w:val="de-DE"/>
        </w:rPr>
        <w:t xml:space="preserve"> ist es bei Auguste Comte, dem Begründer des Positivismus eindeutig. </w:t>
      </w:r>
    </w:p>
    <w:p w:rsidR="00D374BF" w:rsidRDefault="00D374BF" w:rsidP="00A47D3D">
      <w:pPr>
        <w:rPr>
          <w:lang w:val="de-DE"/>
        </w:rPr>
      </w:pPr>
    </w:p>
    <w:p w:rsidR="00A47D3D" w:rsidRPr="00FF308A" w:rsidRDefault="00FC2E0F" w:rsidP="00C5222E">
      <w:pPr>
        <w:pStyle w:val="Heading2"/>
        <w:rPr>
          <w:lang w:val="de-DE"/>
        </w:rPr>
      </w:pPr>
      <w:bookmarkStart w:id="2" w:name="_Toc31886195"/>
      <w:r>
        <w:rPr>
          <w:lang w:val="de-DE"/>
        </w:rPr>
        <w:t xml:space="preserve">Der Positivismus </w:t>
      </w:r>
      <w:r w:rsidR="00A47D3D" w:rsidRPr="00FF308A">
        <w:rPr>
          <w:lang w:val="de-DE"/>
        </w:rPr>
        <w:t>Comte</w:t>
      </w:r>
      <w:r>
        <w:rPr>
          <w:lang w:val="de-DE"/>
        </w:rPr>
        <w:t>s: Wissenschaft und Technik</w:t>
      </w:r>
      <w:bookmarkEnd w:id="2"/>
      <w:r>
        <w:rPr>
          <w:lang w:val="de-DE"/>
        </w:rPr>
        <w:t xml:space="preserve"> </w:t>
      </w:r>
    </w:p>
    <w:p w:rsidR="00A47D3D" w:rsidRDefault="00A47D3D">
      <w:pPr>
        <w:rPr>
          <w:lang w:val="de-DE"/>
        </w:rPr>
      </w:pPr>
    </w:p>
    <w:p w:rsidR="00A47D3D" w:rsidRDefault="00C10876" w:rsidP="00A47D3D">
      <w:pPr>
        <w:rPr>
          <w:lang w:val="de-DE"/>
        </w:rPr>
      </w:pPr>
      <w:r>
        <w:rPr>
          <w:lang w:val="de-DE"/>
        </w:rPr>
        <w:t xml:space="preserve">Comte uebernimmt von Bacon den Utilitarismus, d.h. es ist </w:t>
      </w:r>
      <w:r w:rsidR="00AB7B08">
        <w:rPr>
          <w:lang w:val="de-DE"/>
        </w:rPr>
        <w:t>die „innere Harmonie von Wissenschaft und Technik“</w:t>
      </w:r>
      <w:r w:rsidR="00AB7B08">
        <w:rPr>
          <w:rStyle w:val="FootnoteReference"/>
          <w:lang w:val="de-DE"/>
        </w:rPr>
        <w:footnoteReference w:id="5"/>
      </w:r>
      <w:r w:rsidR="00AB7B08">
        <w:rPr>
          <w:lang w:val="de-DE"/>
        </w:rPr>
        <w:t>, welche Comte anstrebt. Das Streben der Menschheit ist das „Streben nach praktischer Verbesserung der menschlichen Lage“</w:t>
      </w:r>
      <w:r w:rsidR="00AB7B08">
        <w:rPr>
          <w:rStyle w:val="FootnoteReference"/>
          <w:lang w:val="de-DE"/>
        </w:rPr>
        <w:footnoteReference w:id="6"/>
      </w:r>
      <w:r w:rsidR="00AB7B08">
        <w:rPr>
          <w:lang w:val="de-DE"/>
        </w:rPr>
        <w:t>, „das industrielle Leben“.</w:t>
      </w:r>
      <w:r w:rsidR="00AB7B08">
        <w:rPr>
          <w:rStyle w:val="FootnoteReference"/>
          <w:lang w:val="de-DE"/>
        </w:rPr>
        <w:footnoteReference w:id="7"/>
      </w:r>
      <w:r w:rsidR="00AB7B08">
        <w:rPr>
          <w:lang w:val="de-DE"/>
        </w:rPr>
        <w:t xml:space="preserve"> Das industrielle Leben ist Kennzeichnen des positivistischen Stadiums der Menschheit, der letzten und höchsten Stufe. Diese Lehre fußt auf Comtes Dreistadiengesetz, welche die drei Phasen der Menschheitsentwicklung bezeichnen: die erste Phase der Theologie, die zweite, höhere Phase der Metaphysik und drittens und letztens die positivistische Phase. </w:t>
      </w:r>
      <w:r w:rsidR="00A47D3D" w:rsidRPr="00545B60">
        <w:rPr>
          <w:lang w:val="de-DE"/>
        </w:rPr>
        <w:t>Im theologischen oder fiktiven Stadium “</w:t>
      </w:r>
      <w:r w:rsidR="00A47D3D">
        <w:rPr>
          <w:lang w:val="de-DE"/>
        </w:rPr>
        <w:t xml:space="preserve">sucht der menschliche Geist in einer Zeit, in der er den einfachsten wissenschaftlichen Problemen noch nicht gewachsen ist, begierig und fast ausschließlich nach den wesentlichen </w:t>
      </w:r>
      <w:r w:rsidR="00A47D3D" w:rsidRPr="00545B60">
        <w:rPr>
          <w:i/>
          <w:lang w:val="de-DE"/>
        </w:rPr>
        <w:t>Ursachen</w:t>
      </w:r>
      <w:r w:rsidR="00A47D3D">
        <w:rPr>
          <w:lang w:val="de-DE"/>
        </w:rPr>
        <w:t xml:space="preserve">, seien sie nun Erstursachen oder Endursachen – der verschiedenen Erscheinungen, die ihn beeindrucken, sowie nach der ihnen zugrunde liegenden Erzeugungsweise, mit einem Wort nach absoluten Erkenntnissen.“ (7) </w:t>
      </w:r>
    </w:p>
    <w:p w:rsidR="00C10876" w:rsidRDefault="00C10876" w:rsidP="00A47D3D">
      <w:pPr>
        <w:rPr>
          <w:lang w:val="de-DE"/>
        </w:rPr>
      </w:pPr>
    </w:p>
    <w:p w:rsidR="00C10876" w:rsidRDefault="00C10876" w:rsidP="00A47D3D">
      <w:pPr>
        <w:rPr>
          <w:lang w:val="de-DE"/>
        </w:rPr>
      </w:pPr>
      <w:r>
        <w:rPr>
          <w:lang w:val="de-DE"/>
        </w:rPr>
        <w:t xml:space="preserve">Neben dem Utilitarismus kommt Comtes Metaphysikfeindlichkeit. Die Metaphysik (und mit ihr die Vorgaengerin Religion) ist erkenntnistheoretisch anzugreifen: die von Aristoteles propagierte Erkenntnis der „ersten Ursachen und Prinzipien“ sowie die platonischen Ideen sind fuer Comte nichts anderes als Einbildungen, da die menschliche Erkenntnisfaehigkeit eben gerade nicht faehig ist, sich von den Phaenomenen den Noumena, den platonischen Ideen </w:t>
      </w:r>
      <w:r>
        <w:rPr>
          <w:lang w:val="de-DE"/>
        </w:rPr>
        <w:lastRenderedPageBreak/>
        <w:t>zuzuwenden, oder sich bei Aristoteles dem intuitiven Verstand</w:t>
      </w:r>
      <w:r w:rsidR="00326855">
        <w:rPr>
          <w:rStyle w:val="FootnoteReference"/>
          <w:lang w:val="de-DE"/>
        </w:rPr>
        <w:footnoteReference w:id="8"/>
      </w:r>
      <w:r>
        <w:rPr>
          <w:lang w:val="de-DE"/>
        </w:rPr>
        <w:t xml:space="preserve"> anzugleichen. </w:t>
      </w:r>
      <w:r w:rsidR="00326855">
        <w:rPr>
          <w:lang w:val="de-DE"/>
        </w:rPr>
        <w:t xml:space="preserve">Der Idee setzt Comte die Tatsache entgegen. </w:t>
      </w:r>
    </w:p>
    <w:p w:rsidR="00AB7B08" w:rsidRDefault="00AB7B08" w:rsidP="00A47D3D">
      <w:pPr>
        <w:rPr>
          <w:lang w:val="de-DE"/>
        </w:rPr>
      </w:pPr>
    </w:p>
    <w:p w:rsidR="00A47D3D" w:rsidRDefault="00A47D3D" w:rsidP="00A47D3D">
      <w:pPr>
        <w:rPr>
          <w:lang w:val="de-DE"/>
        </w:rPr>
      </w:pPr>
      <w:r>
        <w:rPr>
          <w:lang w:val="de-DE"/>
        </w:rPr>
        <w:t>„Tatsächlich versucht [19] die Metaphysik (genau) wie die Theologie vor allem die innerste Natur der Wesenheiten, Ursprung und Bestimmung aller Dinge und die wesentliche Erzeugungsweise aller Phänomene zu erklären“. (17-19)</w:t>
      </w:r>
      <w:r w:rsidR="003C7051">
        <w:rPr>
          <w:lang w:val="de-DE"/>
        </w:rPr>
        <w:t xml:space="preserve"> Eine Idee im Sinne der Religion und Metaphysik beinhaltet eine Erklärungsweise des Ursprungs und der letzten Bestimmung einer Sache. Für Comte muss diese Betrachtungsweise der positivistischen Platz machen, da Ursprung und Bestimmung nicht Gegenstand der wissenschaftlichen Beobachtung werden können, und daher als unwissenschaftlich und realitätslos abzulehnen seien: im positivistischen Stadium </w:t>
      </w:r>
      <w:r>
        <w:rPr>
          <w:lang w:val="de-DE"/>
        </w:rPr>
        <w:t xml:space="preserve">„verzichtet der menschliche Geist fortan auf absolute Forschungen, wie sie nur seiner Kindheit angemessen waren, und beschränkt seine Bemühungen auf das von da an rasch sich entwickelnde Gebiet der echten Beobachtung, der einzig möglichen Grundlage der wirklich erreichbaren und unseren tatsächlichen Bedürfnissen weise angemessene Erkenntnis.“ (27) </w:t>
      </w:r>
      <w:r w:rsidR="003C7051">
        <w:rPr>
          <w:rStyle w:val="FootnoteReference"/>
          <w:lang w:val="de-DE"/>
        </w:rPr>
        <w:footnoteReference w:id="9"/>
      </w:r>
    </w:p>
    <w:p w:rsidR="00AB7B08" w:rsidRDefault="00AB7B08" w:rsidP="00A47D3D">
      <w:pPr>
        <w:rPr>
          <w:lang w:val="de-DE"/>
        </w:rPr>
      </w:pPr>
    </w:p>
    <w:p w:rsidR="00A47D3D" w:rsidRDefault="003C7051" w:rsidP="00A47D3D">
      <w:pPr>
        <w:rPr>
          <w:lang w:val="de-DE"/>
        </w:rPr>
      </w:pPr>
      <w:r>
        <w:rPr>
          <w:lang w:val="de-DE"/>
        </w:rPr>
        <w:t xml:space="preserve">Der Positivismus ist ein Determinismus, weil er durch Beobachtung auf Gesetze zu schließen sich berechtigt fühlt, welche die Zukunft vorherbestimmen könnne: </w:t>
      </w:r>
      <w:r w:rsidR="00A47D3D">
        <w:rPr>
          <w:lang w:val="de-DE"/>
        </w:rPr>
        <w:t xml:space="preserve">„So besteht der wahre positive Geist vor allem darin </w:t>
      </w:r>
      <w:r w:rsidR="00A47D3D" w:rsidRPr="00DA5A00">
        <w:rPr>
          <w:i/>
          <w:lang w:val="de-DE"/>
        </w:rPr>
        <w:t>zu sehen um vorauszusehen</w:t>
      </w:r>
      <w:r w:rsidR="00A47D3D">
        <w:rPr>
          <w:lang w:val="de-DE"/>
        </w:rPr>
        <w:t>, zu erforschen was ist, um darauf auf Grund des allgemeinen Lehrsatzes von der Unwandelbarkeit der Naturgesetze – das zu erschließen, was sein wird.“ (35)</w:t>
      </w:r>
    </w:p>
    <w:p w:rsidR="003C7051" w:rsidRDefault="003C7051" w:rsidP="00A47D3D">
      <w:pPr>
        <w:rPr>
          <w:lang w:val="de-DE"/>
        </w:rPr>
      </w:pPr>
    </w:p>
    <w:p w:rsidR="00A47D3D" w:rsidRDefault="003C7051" w:rsidP="00A47D3D">
      <w:pPr>
        <w:rPr>
          <w:lang w:val="de-DE"/>
        </w:rPr>
      </w:pPr>
      <w:r>
        <w:rPr>
          <w:lang w:val="de-DE"/>
        </w:rPr>
        <w:t xml:space="preserve">Das Wort </w:t>
      </w:r>
      <w:r w:rsidRPr="003C7051">
        <w:rPr>
          <w:i/>
          <w:lang w:val="de-DE"/>
        </w:rPr>
        <w:t>positiv</w:t>
      </w:r>
      <w:r>
        <w:rPr>
          <w:lang w:val="de-DE"/>
        </w:rPr>
        <w:t xml:space="preserve"> versteht sich daher auch als das „</w:t>
      </w:r>
      <w:r w:rsidR="00A47D3D" w:rsidRPr="00BE136D">
        <w:rPr>
          <w:i/>
          <w:lang w:val="de-DE"/>
        </w:rPr>
        <w:t>Tatsächliche</w:t>
      </w:r>
      <w:r w:rsidR="00A47D3D">
        <w:rPr>
          <w:lang w:val="de-DE"/>
        </w:rPr>
        <w:t xml:space="preserve"> im Gegensatz zum Eingebildeten“ (85)</w:t>
      </w:r>
      <w:r>
        <w:rPr>
          <w:lang w:val="de-DE"/>
        </w:rPr>
        <w:t xml:space="preserve"> Weiterhin steht es für den </w:t>
      </w:r>
      <w:r w:rsidR="00A47D3D">
        <w:rPr>
          <w:lang w:val="de-DE"/>
        </w:rPr>
        <w:t xml:space="preserve">„Gegensatz zwischen dem </w:t>
      </w:r>
      <w:r w:rsidR="00A47D3D" w:rsidRPr="00BE136D">
        <w:rPr>
          <w:i/>
          <w:lang w:val="de-DE"/>
        </w:rPr>
        <w:t>Nützlichen</w:t>
      </w:r>
      <w:r w:rsidR="00A47D3D">
        <w:rPr>
          <w:lang w:val="de-DE"/>
        </w:rPr>
        <w:t xml:space="preserve"> und dem Müßigen an“ (85)</w:t>
      </w:r>
      <w:r>
        <w:rPr>
          <w:lang w:val="de-DE"/>
        </w:rPr>
        <w:t xml:space="preserve"> Wie es das Baconsche Programm gefordert hatte, so dringt auch Comte </w:t>
      </w:r>
      <w:r w:rsidR="00A47D3D">
        <w:rPr>
          <w:lang w:val="de-DE"/>
        </w:rPr>
        <w:t>„auf die ständige Verbesserung unserer individuellen und kollektiven Lebensbedingungen – im Gegensatz zu der nichtigen Befriedigung einer unfruchtbaren Neugier.“ (87)</w:t>
      </w:r>
      <w:r>
        <w:rPr>
          <w:lang w:val="de-DE"/>
        </w:rPr>
        <w:t xml:space="preserve"> Fruchtbarkeit heißt hier immer auf die materiale Wohlfahrt bezogen, also Fragen und Probleme, welche mit naturwissenschaftlicher Forschung und technischer Innovation gelöst werden können. </w:t>
      </w:r>
    </w:p>
    <w:p w:rsidR="00A47D3D" w:rsidRPr="00545B60" w:rsidRDefault="003C7051" w:rsidP="00A47D3D">
      <w:pPr>
        <w:rPr>
          <w:lang w:val="de-DE"/>
        </w:rPr>
      </w:pPr>
      <w:r>
        <w:rPr>
          <w:lang w:val="de-DE"/>
        </w:rPr>
        <w:t xml:space="preserve">Eine weitere Bedeutung, welche Comte dem Wort positiv zumisst, ist die </w:t>
      </w:r>
      <w:r w:rsidR="00A47D3D">
        <w:rPr>
          <w:lang w:val="de-DE"/>
        </w:rPr>
        <w:t xml:space="preserve">„Entgegensetzung von </w:t>
      </w:r>
      <w:r w:rsidR="00A47D3D" w:rsidRPr="004F5ECF">
        <w:rPr>
          <w:i/>
          <w:lang w:val="de-DE"/>
        </w:rPr>
        <w:t>Genauem</w:t>
      </w:r>
      <w:r w:rsidR="00A47D3D">
        <w:rPr>
          <w:lang w:val="de-DE"/>
        </w:rPr>
        <w:t xml:space="preserve"> und Ungewissem“ (87)</w:t>
      </w:r>
      <w:r>
        <w:rPr>
          <w:lang w:val="de-DE"/>
        </w:rPr>
        <w:t xml:space="preserve">. </w:t>
      </w:r>
      <w:r w:rsidR="0004142C">
        <w:rPr>
          <w:lang w:val="de-DE"/>
        </w:rPr>
        <w:t xml:space="preserve">Die wissenschaftliche Tatsache, durch Beobachtung oder Experiment bestätigt, steht der religiösen oder metaphysischen Idee einer Sache gegenüber. Da es einleuchtend ist, dass die Totalität und Universalität niemals eine wissenschaftliche Tatsache </w:t>
      </w:r>
      <w:r w:rsidR="0004142C">
        <w:rPr>
          <w:lang w:val="de-DE"/>
        </w:rPr>
        <w:lastRenderedPageBreak/>
        <w:t xml:space="preserve">in dem besagten Sinne sein kann, ist es folgerichtig, wenn Comte weiterhin das Wort positiv mit der Tendenz gleichsetzt, </w:t>
      </w:r>
      <w:r w:rsidR="00A47D3D">
        <w:rPr>
          <w:lang w:val="de-DE"/>
        </w:rPr>
        <w:t xml:space="preserve">„überall das </w:t>
      </w:r>
      <w:r w:rsidR="00A47D3D" w:rsidRPr="004F5ECF">
        <w:rPr>
          <w:i/>
          <w:lang w:val="de-DE"/>
        </w:rPr>
        <w:t>Relative</w:t>
      </w:r>
      <w:r w:rsidR="00A47D3D">
        <w:rPr>
          <w:lang w:val="de-DE"/>
        </w:rPr>
        <w:t xml:space="preserve"> an die Stelle des Absoluten zu setzen.“ (91) </w:t>
      </w:r>
    </w:p>
    <w:p w:rsidR="00A47D3D" w:rsidRDefault="00A47D3D">
      <w:pPr>
        <w:rPr>
          <w:lang w:val="de-DE"/>
        </w:rPr>
      </w:pPr>
    </w:p>
    <w:p w:rsidR="00D04050" w:rsidRDefault="00D04050">
      <w:pPr>
        <w:rPr>
          <w:lang w:val="de-DE"/>
        </w:rPr>
      </w:pPr>
      <w:r>
        <w:rPr>
          <w:lang w:val="de-DE"/>
        </w:rPr>
        <w:t>Der Positivismus meint, von objektiv gegebenen und sinnlich erfahrbaren (Beobachtung, Experiment) zu Gesetzen zu kommen, welche, da nicht empirisch gegeben, nicht absolut, sondern allein relativ gelten. Diese relative Gueltigkeit ist kein Manko der Theorie, denn diese muesse allein savoir pour prevoir. Jede Vorstellung folglich, welche absolute Gueltigkeit fuer eine Theorie oder Idee beanspruche, sei im bereits ueberholten Paradigma der Religion (kindheit) oder Metaphysik (Jugend der Menschheit) verhaftet, nicht jedoch vom Positivismu</w:t>
      </w:r>
      <w:r w:rsidR="00905C6C">
        <w:rPr>
          <w:lang w:val="de-DE"/>
        </w:rPr>
        <w:t xml:space="preserve">s (Mannesalter der Menschheit). Der Positivismus richtet sein Augenmerk also auf die sinnlich erfahrbaren Inhalte in der Erkenntnis- und Wissenschaftstheorie und die Verbesserung der materialen Bedingungen der Menschheit in Moral und Politik. </w:t>
      </w:r>
    </w:p>
    <w:p w:rsidR="00905C6C" w:rsidRDefault="00905C6C">
      <w:pPr>
        <w:rPr>
          <w:lang w:val="de-DE"/>
        </w:rPr>
      </w:pPr>
      <w:r>
        <w:rPr>
          <w:lang w:val="de-DE"/>
        </w:rPr>
        <w:br/>
      </w:r>
      <w:r w:rsidR="00C63588">
        <w:rPr>
          <w:lang w:val="de-DE"/>
        </w:rPr>
        <w:t xml:space="preserve">Die Tatsache ist dem Positivismus der Idee entgegengesetzt. </w:t>
      </w:r>
    </w:p>
    <w:p w:rsidR="00D04050" w:rsidRDefault="00D04050">
      <w:pPr>
        <w:rPr>
          <w:lang w:val="de-DE"/>
        </w:rPr>
      </w:pPr>
    </w:p>
    <w:p w:rsidR="0093386C" w:rsidRDefault="0093386C">
      <w:pPr>
        <w:rPr>
          <w:lang w:val="de-DE"/>
        </w:rPr>
      </w:pPr>
      <w:r>
        <w:rPr>
          <w:lang w:val="de-DE"/>
        </w:rPr>
        <w:t xml:space="preserve">Dem Positivismus geht es um die Befreiung des Menschen von der Vorstellung, er trage ein göttliches Prinzip in sich, sei wesentlich auf Transzendenz bezogen. Die dem Menschen leitende Idee ist nicht Gott bzw. ein Zusammenleben auf göttlichem Prinzip wie der brüderlichen Liebe, sondern die Realisierung des Menschenmöglichen. Dies erreicht der Mensch durch Wissenschaft und Technik. </w:t>
      </w:r>
    </w:p>
    <w:p w:rsidR="00D77AC9" w:rsidRDefault="00D77AC9">
      <w:pPr>
        <w:rPr>
          <w:lang w:val="de-DE"/>
        </w:rPr>
      </w:pPr>
    </w:p>
    <w:p w:rsidR="00BD7444" w:rsidRPr="001601E4" w:rsidRDefault="001601E4" w:rsidP="00BD7444">
      <w:pPr>
        <w:rPr>
          <w:lang w:val="de-DE"/>
        </w:rPr>
      </w:pPr>
      <w:r>
        <w:rPr>
          <w:lang w:val="de-DE"/>
        </w:rPr>
        <w:t xml:space="preserve">Fuer lange Zeit war auch in Deutschland die Vorstellung vorherrschend, dass mit dem Erfolg von Wissenschaft und Technik, der Industrialisierung, die Menschheit auf dem richtigen Weg sei. Zivilisation und Kultur wurde nunmehr einseitig vom Grad der technischen Beherrschbarkeit der Natur bewertet. Die Deutschen hatten hierfuer den Mythos des Tatmenschen Faust, der Aufwertung des Berufes des Ingenieurs, wie es vor allem um die Jahrhundertwende und am Beginn des 20. Jahrhunderts beliebt war, wie es beispielsweise Ulrich Wendt in seiner </w:t>
      </w:r>
      <w:r w:rsidR="00BD7444" w:rsidRPr="000A083F">
        <w:rPr>
          <w:b/>
          <w:lang w:val="de-DE"/>
        </w:rPr>
        <w:t>Die Technik als Kulturmacht in sozialer und geist</w:t>
      </w:r>
      <w:r>
        <w:rPr>
          <w:b/>
          <w:lang w:val="de-DE"/>
        </w:rPr>
        <w:t xml:space="preserve">iger Beziehung von 1906 formulierte: </w:t>
      </w:r>
    </w:p>
    <w:p w:rsidR="00BD7444" w:rsidRDefault="00BD7444" w:rsidP="00BD7444">
      <w:pPr>
        <w:rPr>
          <w:lang w:val="de-DE"/>
        </w:rPr>
      </w:pPr>
    </w:p>
    <w:p w:rsidR="00BD7444" w:rsidRDefault="001601E4" w:rsidP="00BD7444">
      <w:pPr>
        <w:rPr>
          <w:lang w:val="de-DE"/>
        </w:rPr>
      </w:pPr>
      <w:r>
        <w:rPr>
          <w:lang w:val="de-DE"/>
        </w:rPr>
        <w:t xml:space="preserve"> </w:t>
      </w:r>
      <w:r w:rsidR="00BD7444">
        <w:rPr>
          <w:lang w:val="de-DE"/>
        </w:rPr>
        <w:t>„Aber wenn heut ein Gott herniederstiege und die Menschheit fragte, ob sie lieber die Handwerker missen wolle, oder die Gelehrten, sie würde mit lautem, einstimmigem Geschrei die Gelehrten aus dem T</w:t>
      </w:r>
      <w:r w:rsidR="00916AAC">
        <w:rPr>
          <w:lang w:val="de-DE"/>
        </w:rPr>
        <w:t>empel des Staates jagen!“ (314)</w:t>
      </w:r>
      <w:r>
        <w:rPr>
          <w:rStyle w:val="FootnoteReference"/>
          <w:lang w:val="de-DE"/>
        </w:rPr>
        <w:footnoteReference w:id="10"/>
      </w:r>
    </w:p>
    <w:p w:rsidR="00916AAC" w:rsidRDefault="00916AAC" w:rsidP="00BD7444">
      <w:pPr>
        <w:rPr>
          <w:lang w:val="de-DE"/>
        </w:rPr>
      </w:pPr>
    </w:p>
    <w:p w:rsidR="00916AAC" w:rsidRDefault="00916AAC" w:rsidP="00BD7444">
      <w:pPr>
        <w:rPr>
          <w:lang w:val="de-DE"/>
        </w:rPr>
      </w:pPr>
      <w:r>
        <w:rPr>
          <w:lang w:val="de-DE"/>
        </w:rPr>
        <w:t xml:space="preserve">Diese Verbindung von Utilitarismus (utilitas) und Anti-Metaphysik (Platonische Idee, theoria = speculatio = leeres Spekulieren) </w:t>
      </w:r>
      <w:r w:rsidR="00067543">
        <w:rPr>
          <w:lang w:val="de-DE"/>
        </w:rPr>
        <w:t xml:space="preserve">ist bis heute vorherrschend, wenngleich es Anzeichen dafuer gibt, dass das Baconsche Zeitalter sich dem Ende zuneigt. Aber seit der Industrialisierug finden </w:t>
      </w:r>
      <w:r w:rsidR="00067543">
        <w:rPr>
          <w:lang w:val="de-DE"/>
        </w:rPr>
        <w:lastRenderedPageBreak/>
        <w:t>wir auch in Deutschland die hymnische Feier dieses Baconschen/Comteschen Programms, wie es uns bereits Ende des 18. Jahrhunderts bei Ulrich Wendt begegnet</w:t>
      </w:r>
    </w:p>
    <w:p w:rsidR="00916AAC" w:rsidRDefault="00916AAC" w:rsidP="00BD7444">
      <w:pPr>
        <w:rPr>
          <w:lang w:val="de-DE"/>
        </w:rPr>
      </w:pPr>
    </w:p>
    <w:p w:rsidR="00916AAC" w:rsidRPr="00916AAC" w:rsidRDefault="00916AAC" w:rsidP="00BD7444">
      <w:pPr>
        <w:rPr>
          <w:lang w:val="de-DE"/>
        </w:rPr>
      </w:pPr>
      <w:r w:rsidRPr="00916AAC">
        <w:rPr>
          <w:rFonts w:ascii="Arial" w:hAnsi="Arial" w:cs="Arial"/>
          <w:b/>
          <w:bCs/>
          <w:color w:val="222222"/>
          <w:sz w:val="21"/>
          <w:szCs w:val="21"/>
          <w:shd w:val="clear" w:color="auto" w:fill="FFFFFF"/>
          <w:lang w:val="de-DE"/>
        </w:rPr>
        <w:t>Spekulation</w:t>
      </w:r>
      <w:r w:rsidRPr="00916AAC">
        <w:rPr>
          <w:rFonts w:ascii="Arial" w:hAnsi="Arial" w:cs="Arial"/>
          <w:color w:val="222222"/>
          <w:sz w:val="21"/>
          <w:szCs w:val="21"/>
          <w:shd w:val="clear" w:color="auto" w:fill="FFFFFF"/>
          <w:lang w:val="de-DE"/>
        </w:rPr>
        <w:t> (von </w:t>
      </w:r>
      <w:hyperlink r:id="rId8" w:tooltip="Latein" w:history="1">
        <w:r w:rsidRPr="00916AAC">
          <w:rPr>
            <w:rStyle w:val="Hyperlink"/>
            <w:rFonts w:ascii="Arial" w:hAnsi="Arial" w:cs="Arial"/>
            <w:color w:val="0B0080"/>
            <w:sz w:val="21"/>
            <w:szCs w:val="21"/>
            <w:shd w:val="clear" w:color="auto" w:fill="FFFFFF"/>
            <w:lang w:val="de-DE"/>
          </w:rPr>
          <w:t>lateinisch</w:t>
        </w:r>
      </w:hyperlink>
      <w:r w:rsidRPr="00916AAC">
        <w:rPr>
          <w:rFonts w:ascii="Arial" w:hAnsi="Arial" w:cs="Arial"/>
          <w:color w:val="222222"/>
          <w:sz w:val="21"/>
          <w:szCs w:val="21"/>
          <w:shd w:val="clear" w:color="auto" w:fill="FFFFFF"/>
          <w:lang w:val="de-DE"/>
        </w:rPr>
        <w:t> </w:t>
      </w:r>
      <w:r>
        <w:rPr>
          <w:rFonts w:ascii="Arial" w:hAnsi="Arial" w:cs="Arial"/>
          <w:i/>
          <w:iCs/>
          <w:color w:val="222222"/>
          <w:sz w:val="21"/>
          <w:szCs w:val="21"/>
          <w:shd w:val="clear" w:color="auto" w:fill="FFFFFF"/>
          <w:lang w:val="la-Latn"/>
        </w:rPr>
        <w:t>speculari</w:t>
      </w:r>
      <w:r w:rsidRPr="00916AAC">
        <w:rPr>
          <w:rFonts w:ascii="Arial" w:hAnsi="Arial" w:cs="Arial"/>
          <w:color w:val="222222"/>
          <w:sz w:val="21"/>
          <w:szCs w:val="21"/>
          <w:shd w:val="clear" w:color="auto" w:fill="FFFFFF"/>
          <w:lang w:val="de-DE"/>
        </w:rPr>
        <w:t> </w:t>
      </w:r>
      <w:r>
        <w:rPr>
          <w:rFonts w:ascii="Arial" w:hAnsi="Arial" w:cs="Arial"/>
          <w:color w:val="222222"/>
          <w:sz w:val="21"/>
          <w:szCs w:val="21"/>
          <w:shd w:val="clear" w:color="auto" w:fill="FFFFFF"/>
          <w:lang w:val="de-DE"/>
        </w:rPr>
        <w:t>‚beobachten‘</w:t>
      </w:r>
      <w:r w:rsidRPr="00916AAC">
        <w:rPr>
          <w:rFonts w:ascii="Arial" w:hAnsi="Arial" w:cs="Arial"/>
          <w:color w:val="222222"/>
          <w:sz w:val="21"/>
          <w:szCs w:val="21"/>
          <w:shd w:val="clear" w:color="auto" w:fill="FFFFFF"/>
          <w:lang w:val="de-DE"/>
        </w:rPr>
        <w:t>) ist eine </w:t>
      </w:r>
      <w:hyperlink r:id="rId9" w:tooltip="Philosophie" w:history="1">
        <w:r w:rsidRPr="00916AAC">
          <w:rPr>
            <w:rStyle w:val="Hyperlink"/>
            <w:rFonts w:ascii="Arial" w:hAnsi="Arial" w:cs="Arial"/>
            <w:color w:val="0B0080"/>
            <w:sz w:val="21"/>
            <w:szCs w:val="21"/>
            <w:shd w:val="clear" w:color="auto" w:fill="FFFFFF"/>
            <w:lang w:val="de-DE"/>
          </w:rPr>
          <w:t>philosophische</w:t>
        </w:r>
      </w:hyperlink>
      <w:r w:rsidRPr="00916AAC">
        <w:rPr>
          <w:rFonts w:ascii="Arial" w:hAnsi="Arial" w:cs="Arial"/>
          <w:color w:val="222222"/>
          <w:sz w:val="21"/>
          <w:szCs w:val="21"/>
          <w:shd w:val="clear" w:color="auto" w:fill="FFFFFF"/>
          <w:lang w:val="de-DE"/>
        </w:rPr>
        <w:t> Denkweise zu </w:t>
      </w:r>
      <w:hyperlink r:id="rId10" w:tooltip="Erkenntnis" w:history="1">
        <w:r w:rsidRPr="00916AAC">
          <w:rPr>
            <w:rStyle w:val="Hyperlink"/>
            <w:rFonts w:ascii="Arial" w:hAnsi="Arial" w:cs="Arial"/>
            <w:color w:val="0B0080"/>
            <w:sz w:val="21"/>
            <w:szCs w:val="21"/>
            <w:shd w:val="clear" w:color="auto" w:fill="FFFFFF"/>
            <w:lang w:val="de-DE"/>
          </w:rPr>
          <w:t>Erkenntnissen</w:t>
        </w:r>
      </w:hyperlink>
      <w:r w:rsidRPr="00916AAC">
        <w:rPr>
          <w:rFonts w:ascii="Arial" w:hAnsi="Arial" w:cs="Arial"/>
          <w:color w:val="222222"/>
          <w:sz w:val="21"/>
          <w:szCs w:val="21"/>
          <w:shd w:val="clear" w:color="auto" w:fill="FFFFFF"/>
          <w:lang w:val="de-DE"/>
        </w:rPr>
        <w:t> zu gelangen, indem man über die herkömmliche empirische oder praktische Erfahrung hinausgeht und sich auf das Wesen der Dinge und ihre ersten </w:t>
      </w:r>
      <w:hyperlink r:id="rId11" w:tooltip="Prinzip" w:history="1">
        <w:r w:rsidRPr="00916AAC">
          <w:rPr>
            <w:rStyle w:val="Hyperlink"/>
            <w:rFonts w:ascii="Arial" w:hAnsi="Arial" w:cs="Arial"/>
            <w:color w:val="0B0080"/>
            <w:sz w:val="21"/>
            <w:szCs w:val="21"/>
            <w:shd w:val="clear" w:color="auto" w:fill="FFFFFF"/>
            <w:lang w:val="de-DE"/>
          </w:rPr>
          <w:t>Prinzipien</w:t>
        </w:r>
      </w:hyperlink>
      <w:r w:rsidRPr="00916AAC">
        <w:rPr>
          <w:rFonts w:ascii="Arial" w:hAnsi="Arial" w:cs="Arial"/>
          <w:color w:val="222222"/>
          <w:sz w:val="21"/>
          <w:szCs w:val="21"/>
          <w:shd w:val="clear" w:color="auto" w:fill="FFFFFF"/>
          <w:lang w:val="de-DE"/>
        </w:rPr>
        <w:t> richtet. Der griechische Begriff "theoria" (Betrachtung) wurde im Lateinischen durch "speculatio" übersetzt und bedeutete zugleich </w:t>
      </w:r>
      <w:hyperlink r:id="rId12" w:tooltip="Kontemplation" w:history="1">
        <w:r w:rsidRPr="00916AAC">
          <w:rPr>
            <w:rStyle w:val="Hyperlink"/>
            <w:rFonts w:ascii="Arial" w:hAnsi="Arial" w:cs="Arial"/>
            <w:color w:val="0B0080"/>
            <w:sz w:val="21"/>
            <w:szCs w:val="21"/>
            <w:shd w:val="clear" w:color="auto" w:fill="FFFFFF"/>
            <w:lang w:val="de-DE"/>
          </w:rPr>
          <w:t>"contemplatio"</w:t>
        </w:r>
      </w:hyperlink>
      <w:r w:rsidRPr="00916AAC">
        <w:rPr>
          <w:rFonts w:ascii="Arial" w:hAnsi="Arial" w:cs="Arial"/>
          <w:color w:val="222222"/>
          <w:sz w:val="21"/>
          <w:szCs w:val="21"/>
          <w:shd w:val="clear" w:color="auto" w:fill="FFFFFF"/>
          <w:lang w:val="de-DE"/>
        </w:rPr>
        <w:t>.</w:t>
      </w:r>
      <w:r>
        <w:rPr>
          <w:rFonts w:ascii="Arial" w:hAnsi="Arial" w:cs="Arial"/>
          <w:color w:val="222222"/>
          <w:sz w:val="21"/>
          <w:szCs w:val="21"/>
          <w:shd w:val="clear" w:color="auto" w:fill="FFFFFF"/>
          <w:lang w:val="de-DE"/>
        </w:rPr>
        <w:t xml:space="preserve"> Daher die spekulativen Wissenschaften, also die Wissenschaften, die nach Aristoteles allein Wissenschaften sind, da ihre Gegenstaende ewig und unveraenderlich sind. </w:t>
      </w:r>
    </w:p>
    <w:p w:rsidR="00916AAC" w:rsidRDefault="00916AAC" w:rsidP="00BD7444">
      <w:pPr>
        <w:rPr>
          <w:lang w:val="de-DE"/>
        </w:rPr>
      </w:pPr>
    </w:p>
    <w:p w:rsidR="00BD7444" w:rsidRDefault="00BD7444">
      <w:pPr>
        <w:rPr>
          <w:lang w:val="de-DE"/>
        </w:rPr>
      </w:pPr>
    </w:p>
    <w:p w:rsidR="001601E4" w:rsidRDefault="001601E4">
      <w:pPr>
        <w:rPr>
          <w:lang w:val="de-DE"/>
        </w:rPr>
      </w:pPr>
      <w:r>
        <w:rPr>
          <w:lang w:val="de-DE"/>
        </w:rPr>
        <w:t xml:space="preserve">Wie es bei Wendt anklingt und bei Comte mit dem Dreistadiengesetz formuliert wurde, versteht sich eine solche Position als Abloesung der antiken und mittelalterlichen Vorstellung (Religion, Metaphysik). Die neuzeitliche Vorstellung von der Beherrschbarkeit der Natur und des Selbst tritt an die Stelle der Religion, wird so selbst zur Religion. </w:t>
      </w:r>
    </w:p>
    <w:p w:rsidR="001601E4" w:rsidRDefault="001601E4">
      <w:pPr>
        <w:rPr>
          <w:lang w:val="de-DE"/>
        </w:rPr>
      </w:pPr>
    </w:p>
    <w:p w:rsidR="001601E4" w:rsidRDefault="001601E4">
      <w:pPr>
        <w:rPr>
          <w:lang w:val="de-DE"/>
        </w:rPr>
      </w:pPr>
    </w:p>
    <w:p w:rsidR="00690478" w:rsidRDefault="00690478">
      <w:pPr>
        <w:rPr>
          <w:lang w:val="de-DE"/>
        </w:rPr>
      </w:pPr>
      <w:r>
        <w:rPr>
          <w:lang w:val="de-DE"/>
        </w:rPr>
        <w:t xml:space="preserve">Der Positivismus behauptet, diese Stufe sei die höchste, und Religion und Philosophie </w:t>
      </w:r>
      <w:r w:rsidR="00F44BEB">
        <w:rPr>
          <w:lang w:val="de-DE"/>
        </w:rPr>
        <w:t xml:space="preserve">überholte Positionen. Das Heilsbedürfnis, welche der Mensch hat und das ihn über die Welt hinaus in den Himmel emporblicken läßt (mit Augustin: mein Herz ist unruhig, bis es ruht in dir, mein Herr) wird nicht negiert oder ignoriert, sondern vom Himmel auf die Erde umgeleitet. </w:t>
      </w:r>
    </w:p>
    <w:p w:rsidR="00690478" w:rsidRDefault="00690478">
      <w:pPr>
        <w:rPr>
          <w:lang w:val="de-DE"/>
        </w:rPr>
      </w:pPr>
    </w:p>
    <w:p w:rsidR="00067543" w:rsidRDefault="00067543">
      <w:pPr>
        <w:rPr>
          <w:lang w:val="de-DE"/>
        </w:rPr>
      </w:pPr>
    </w:p>
    <w:p w:rsidR="00F44BEB" w:rsidRDefault="00F44BEB">
      <w:pPr>
        <w:rPr>
          <w:lang w:val="de-DE"/>
        </w:rPr>
      </w:pPr>
    </w:p>
    <w:p w:rsidR="00F44BEB" w:rsidRDefault="00F44BEB" w:rsidP="00F44BEB">
      <w:pPr>
        <w:rPr>
          <w:lang w:val="de-DE"/>
        </w:rPr>
      </w:pPr>
      <w:r>
        <w:rPr>
          <w:lang w:val="de-DE"/>
        </w:rPr>
        <w:t>„Das ganze Christentum war letzten Endes eine Hoffnung auf das Himmelreich: der ganze Positivismus ist letzten Endes eine Verwirklichung des Reiches der Erde.“ (Lubac, 202)</w:t>
      </w:r>
    </w:p>
    <w:p w:rsidR="00F44BEB" w:rsidRDefault="00F44BEB" w:rsidP="00F44BEB">
      <w:pPr>
        <w:rPr>
          <w:lang w:val="de-DE"/>
        </w:rPr>
      </w:pPr>
    </w:p>
    <w:p w:rsidR="00F44BEB" w:rsidRPr="00F44BEB" w:rsidRDefault="00F44BEB" w:rsidP="00F44BEB">
      <w:pPr>
        <w:rPr>
          <w:b/>
          <w:lang w:val="de-DE"/>
        </w:rPr>
      </w:pPr>
      <w:r>
        <w:rPr>
          <w:lang w:val="de-DE"/>
        </w:rPr>
        <w:t>„Wenig später sollte Emil Saisset schreiben: ‚Zwei Denker, Feuerbach in Berlin und Comte in Paris, befehlen der Anbetung des christlichen Abendlandes einen neuen Gott, das Menschengeschlecht.‘“ (</w:t>
      </w:r>
      <w:r w:rsidRPr="00075C9A">
        <w:rPr>
          <w:b/>
          <w:lang w:val="de-DE"/>
        </w:rPr>
        <w:t>Henri de Lubac: Die Tragödie des Humanismus ohne Gott. Feuerbach – Nietzsche – Comte und Dostojewskij als Prophet. Salzburg: Otto Müller, 1950</w:t>
      </w:r>
      <w:r>
        <w:rPr>
          <w:b/>
          <w:lang w:val="de-DE"/>
        </w:rPr>
        <w:t xml:space="preserve">, </w:t>
      </w:r>
      <w:r>
        <w:rPr>
          <w:lang w:val="de-DE"/>
        </w:rPr>
        <w:t xml:space="preserve">111) </w:t>
      </w:r>
    </w:p>
    <w:p w:rsidR="00F44BEB" w:rsidRDefault="00F44BEB">
      <w:pPr>
        <w:rPr>
          <w:lang w:val="de-DE"/>
        </w:rPr>
      </w:pPr>
    </w:p>
    <w:p w:rsidR="00F44BEB" w:rsidRDefault="00F44BEB" w:rsidP="00F44BEB">
      <w:pPr>
        <w:rPr>
          <w:lang w:val="de-DE"/>
        </w:rPr>
      </w:pPr>
      <w:r>
        <w:rPr>
          <w:lang w:val="de-DE"/>
        </w:rPr>
        <w:t xml:space="preserve">Der Positivismus negiert nicht das Heilsbedürfnis des Menschen. Anders jedoch als die von ihm kritisierten Scholastiker ist das Ziel der Menschheit nicht im Jenseits, sondern </w:t>
      </w:r>
      <w:r w:rsidRPr="003E6F93">
        <w:rPr>
          <w:i/>
          <w:lang w:val="de-DE"/>
        </w:rPr>
        <w:t>in der Welt</w:t>
      </w:r>
      <w:r>
        <w:rPr>
          <w:lang w:val="de-DE"/>
        </w:rPr>
        <w:t xml:space="preserve"> zu finden. Das utilitaristische Wissen wird als höchste Form des Wissens aufgewertet, und der Beitrag zum Prozeß der Zivilisation als höchstes menschliches Ziel formuliert. Da jedoch der Zustand der Zivilisation stets verbesserbar denkbar ist, ist es höchste Bestimmung, am Fortschritt teilzuhaben. Die Zukunft der Menschheit wird der Gott, und die Arbeit das Gebet und Gottesdienst.</w:t>
      </w:r>
      <w:r w:rsidR="00856657">
        <w:rPr>
          <w:rStyle w:val="FootnoteReference"/>
          <w:lang w:val="de-DE"/>
        </w:rPr>
        <w:footnoteReference w:id="11"/>
      </w:r>
      <w:r>
        <w:rPr>
          <w:lang w:val="de-DE"/>
        </w:rPr>
        <w:t xml:space="preserve"> </w:t>
      </w:r>
    </w:p>
    <w:p w:rsidR="001601E4" w:rsidRDefault="001601E4" w:rsidP="00F44BEB">
      <w:pPr>
        <w:rPr>
          <w:lang w:val="de-DE"/>
        </w:rPr>
      </w:pPr>
    </w:p>
    <w:p w:rsidR="001601E4" w:rsidRPr="00551CDD" w:rsidRDefault="001601E4" w:rsidP="001601E4">
      <w:pPr>
        <w:rPr>
          <w:b/>
          <w:lang w:val="de-DE"/>
        </w:rPr>
      </w:pPr>
      <w:r>
        <w:rPr>
          <w:lang w:val="de-DE"/>
        </w:rPr>
        <w:t>„Nichtsdestoweniger und trotz aller positivistischen Auflösung des Weltbildes ist die Sehnsucht des Menschen nach Universalität und Totalität unauslöschlich.“ (</w:t>
      </w:r>
      <w:r w:rsidRPr="009E33A0">
        <w:rPr>
          <w:b/>
          <w:lang w:val="de-DE"/>
        </w:rPr>
        <w:t>Hermann Broch:</w:t>
      </w:r>
      <w:r>
        <w:rPr>
          <w:b/>
          <w:lang w:val="de-DE"/>
        </w:rPr>
        <w:t xml:space="preserve"> Theologie, Positivismus und Dichtung</w:t>
      </w:r>
      <w:r w:rsidRPr="009E33A0">
        <w:rPr>
          <w:b/>
          <w:lang w:val="de-DE"/>
        </w:rPr>
        <w:t>. In: Philosophische Schriften 1. Kritik. Frankfurt am Main: Suhrkamp, 1977,</w:t>
      </w:r>
      <w:r>
        <w:rPr>
          <w:b/>
          <w:lang w:val="de-DE"/>
        </w:rPr>
        <w:t xml:space="preserve"> 191-239, </w:t>
      </w:r>
      <w:r>
        <w:rPr>
          <w:lang w:val="de-DE"/>
        </w:rPr>
        <w:t>200)</w:t>
      </w:r>
      <w:r>
        <w:rPr>
          <w:rStyle w:val="FootnoteReference"/>
          <w:lang w:val="de-DE"/>
        </w:rPr>
        <w:footnoteReference w:id="12"/>
      </w:r>
      <w:r>
        <w:rPr>
          <w:lang w:val="de-DE"/>
        </w:rPr>
        <w:t xml:space="preserve"> </w:t>
      </w:r>
    </w:p>
    <w:p w:rsidR="001601E4" w:rsidRDefault="001601E4" w:rsidP="00F44BEB">
      <w:pPr>
        <w:rPr>
          <w:lang w:val="de-DE"/>
        </w:rPr>
      </w:pPr>
    </w:p>
    <w:p w:rsidR="003E6F93" w:rsidRDefault="003E6F93">
      <w:pPr>
        <w:rPr>
          <w:lang w:val="de-DE"/>
        </w:rPr>
      </w:pPr>
    </w:p>
    <w:p w:rsidR="00551CDD" w:rsidRPr="00FF308A" w:rsidRDefault="00477F42" w:rsidP="00C5222E">
      <w:pPr>
        <w:pStyle w:val="Heading2"/>
        <w:rPr>
          <w:lang w:val="de-DE"/>
        </w:rPr>
      </w:pPr>
      <w:bookmarkStart w:id="3" w:name="_Toc31886196"/>
      <w:r>
        <w:rPr>
          <w:lang w:val="de-DE"/>
        </w:rPr>
        <w:t>Zola</w:t>
      </w:r>
      <w:r w:rsidR="00FC2E0F">
        <w:rPr>
          <w:lang w:val="de-DE"/>
        </w:rPr>
        <w:t>s</w:t>
      </w:r>
      <w:r w:rsidR="00067543">
        <w:rPr>
          <w:lang w:val="de-DE"/>
        </w:rPr>
        <w:t xml:space="preserve"> Naturalismus</w:t>
      </w:r>
      <w:bookmarkEnd w:id="3"/>
      <w:r w:rsidR="00067543">
        <w:rPr>
          <w:lang w:val="de-DE"/>
        </w:rPr>
        <w:t xml:space="preserve"> </w:t>
      </w:r>
    </w:p>
    <w:p w:rsidR="00551CDD" w:rsidRPr="00FF308A" w:rsidRDefault="00551CDD" w:rsidP="00551CDD">
      <w:pPr>
        <w:rPr>
          <w:lang w:val="de-DE"/>
        </w:rPr>
      </w:pPr>
    </w:p>
    <w:p w:rsidR="00713E0B" w:rsidRDefault="00713E0B" w:rsidP="001601E4">
      <w:pPr>
        <w:rPr>
          <w:lang w:val="de-DE"/>
        </w:rPr>
      </w:pPr>
      <w:r>
        <w:rPr>
          <w:lang w:val="de-DE"/>
        </w:rPr>
        <w:t xml:space="preserve">Die Metaphysikfeindlichkeit Zolas </w:t>
      </w:r>
    </w:p>
    <w:p w:rsidR="00713E0B" w:rsidRDefault="00713E0B" w:rsidP="001601E4">
      <w:pPr>
        <w:rPr>
          <w:lang w:val="de-DE"/>
        </w:rPr>
      </w:pPr>
    </w:p>
    <w:p w:rsidR="00C02EA7" w:rsidRDefault="00C02EA7" w:rsidP="001601E4">
      <w:pPr>
        <w:rPr>
          <w:lang w:val="de-DE"/>
        </w:rPr>
      </w:pPr>
      <w:r>
        <w:rPr>
          <w:lang w:val="de-DE"/>
        </w:rPr>
        <w:t xml:space="preserve">Bereits in seinen theoretischen Werken zeigt sich Zola als orthodoxer Positivist. Besonders deutlich wird dies, wie er mit positivistischen Gedanken die </w:t>
      </w:r>
      <w:r w:rsidRPr="00C02EA7">
        <w:rPr>
          <w:i/>
          <w:lang w:val="de-DE"/>
        </w:rPr>
        <w:t>Idee</w:t>
      </w:r>
      <w:r>
        <w:rPr>
          <w:lang w:val="de-DE"/>
        </w:rPr>
        <w:t xml:space="preserve"> angreift. Der wissenschaftliche Zugang des Positivismus zur Realitaet wird dem idealistischen Zugang entgegengesetzt. Waehrend der Positivismus auf </w:t>
      </w:r>
    </w:p>
    <w:p w:rsidR="00C02EA7" w:rsidRDefault="00C02EA7" w:rsidP="001601E4">
      <w:pPr>
        <w:rPr>
          <w:lang w:val="de-DE"/>
        </w:rPr>
      </w:pPr>
    </w:p>
    <w:p w:rsidR="00C02EA7" w:rsidRDefault="00C02EA7" w:rsidP="001601E4">
      <w:pPr>
        <w:rPr>
          <w:lang w:val="de-DE"/>
        </w:rPr>
      </w:pPr>
      <w:r>
        <w:rPr>
          <w:lang w:val="de-DE"/>
        </w:rPr>
        <w:t xml:space="preserve">Tolstoi hatte darauf hingewiesen, dass die Rede von der Tatsache, von welcher auszugehen sei, eine Illusion ist, denn es gibt eine unendliche Anzahl von Tatsachen, also ist bereits in der Auswahl dessen, was als objektive Tatsache zu untersuchen sei, ein subjektives Moment, oder, wie Tolstoi sich ausdrueckt, eine Theorie. Diese Theorie ist selbst wiederum nicht das Resultat der Tatsachen, sondern deren Voraussetzung (hier erinnert Tolstoi an Ludwig Flecks die wissenschaftliche Tatsache). Eine Theorie ist aber nichts anderes als eine leitende </w:t>
      </w:r>
      <w:r w:rsidRPr="00C02EA7">
        <w:rPr>
          <w:i/>
          <w:lang w:val="de-DE"/>
        </w:rPr>
        <w:t>Idee</w:t>
      </w:r>
      <w:r>
        <w:rPr>
          <w:lang w:val="de-DE"/>
        </w:rPr>
        <w:t xml:space="preserve">. </w:t>
      </w:r>
    </w:p>
    <w:p w:rsidR="00C02EA7" w:rsidRDefault="00C02EA7" w:rsidP="001601E4">
      <w:pPr>
        <w:rPr>
          <w:lang w:val="de-DE"/>
        </w:rPr>
      </w:pPr>
      <w:r>
        <w:rPr>
          <w:lang w:val="de-DE"/>
        </w:rPr>
        <w:br/>
        <w:t xml:space="preserve">Neben diesem wissenschaftstheoretischen Einwand bringt Tolstoi methodische Einwaende: die Idee, also die Totalitaet und Universalitaet </w:t>
      </w:r>
    </w:p>
    <w:p w:rsidR="00C02EA7" w:rsidRDefault="00C02EA7" w:rsidP="001601E4">
      <w:pPr>
        <w:rPr>
          <w:lang w:val="de-DE"/>
        </w:rPr>
      </w:pPr>
    </w:p>
    <w:p w:rsidR="00C02EA7" w:rsidRDefault="00C02EA7" w:rsidP="001601E4">
      <w:pPr>
        <w:rPr>
          <w:lang w:val="de-DE"/>
        </w:rPr>
      </w:pPr>
      <w:r>
        <w:rPr>
          <w:lang w:val="de-DE"/>
        </w:rPr>
        <w:t xml:space="preserve">Zola hingegen geht ueberall  </w:t>
      </w:r>
    </w:p>
    <w:p w:rsidR="00C02EA7" w:rsidRDefault="00C02EA7" w:rsidP="001601E4">
      <w:pPr>
        <w:rPr>
          <w:lang w:val="de-DE"/>
        </w:rPr>
      </w:pPr>
    </w:p>
    <w:p w:rsidR="001601E4" w:rsidRDefault="001601E4" w:rsidP="001601E4">
      <w:pPr>
        <w:rPr>
          <w:lang w:val="de-DE"/>
        </w:rPr>
      </w:pPr>
      <w:r>
        <w:rPr>
          <w:lang w:val="de-DE"/>
        </w:rPr>
        <w:t xml:space="preserve">Besonders deutlich wird dies an Zolas letztem Romanprojekt, den </w:t>
      </w:r>
      <w:r w:rsidRPr="00F44BEB">
        <w:rPr>
          <w:i/>
          <w:lang w:val="de-DE"/>
        </w:rPr>
        <w:t>Evangelien</w:t>
      </w:r>
      <w:r>
        <w:rPr>
          <w:lang w:val="de-DE"/>
        </w:rPr>
        <w:t xml:space="preserve">. </w:t>
      </w:r>
    </w:p>
    <w:p w:rsidR="008E22FD" w:rsidRDefault="008E22FD" w:rsidP="001601E4">
      <w:pPr>
        <w:rPr>
          <w:lang w:val="de-DE"/>
        </w:rPr>
      </w:pPr>
    </w:p>
    <w:p w:rsidR="008E22FD" w:rsidRDefault="008E22FD" w:rsidP="001601E4">
      <w:pPr>
        <w:rPr>
          <w:lang w:val="de-DE"/>
        </w:rPr>
      </w:pPr>
      <w:r>
        <w:rPr>
          <w:lang w:val="de-DE"/>
        </w:rPr>
        <w:t xml:space="preserve">Zolas Position ist nicht nur flach, ja „laecherlich“ (Broch), sie ist auch gefaehrlich (Totalitarismus). </w:t>
      </w:r>
    </w:p>
    <w:p w:rsidR="001601E4" w:rsidRDefault="001601E4" w:rsidP="001601E4">
      <w:pPr>
        <w:rPr>
          <w:lang w:val="de-DE"/>
        </w:rPr>
      </w:pPr>
    </w:p>
    <w:p w:rsidR="001601E4" w:rsidRDefault="001601E4" w:rsidP="001601E4">
      <w:pPr>
        <w:rPr>
          <w:lang w:val="de-DE"/>
        </w:rPr>
      </w:pPr>
    </w:p>
    <w:p w:rsidR="00551CDD" w:rsidRDefault="00551CDD">
      <w:pPr>
        <w:rPr>
          <w:lang w:val="de-DE"/>
        </w:rPr>
      </w:pPr>
      <w:r>
        <w:rPr>
          <w:lang w:val="de-DE"/>
        </w:rPr>
        <w:t xml:space="preserve">Zola verkennt, wie es Tolstoi anspricht und ebenfalls wiederum Hermann Broch </w:t>
      </w:r>
      <w:r w:rsidR="00690478">
        <w:rPr>
          <w:lang w:val="de-DE"/>
        </w:rPr>
        <w:t xml:space="preserve">auf den Punkt bringt, die überzeitliche Idee. </w:t>
      </w:r>
    </w:p>
    <w:p w:rsidR="00551CDD" w:rsidRDefault="00551CDD" w:rsidP="00551CDD">
      <w:pPr>
        <w:rPr>
          <w:lang w:val="de-DE"/>
        </w:rPr>
      </w:pPr>
    </w:p>
    <w:p w:rsidR="00551CDD" w:rsidRPr="00690478" w:rsidRDefault="00551CDD" w:rsidP="00551CDD">
      <w:pPr>
        <w:rPr>
          <w:b/>
          <w:lang w:val="de-DE"/>
        </w:rPr>
      </w:pPr>
      <w:r>
        <w:rPr>
          <w:lang w:val="de-DE"/>
        </w:rPr>
        <w:t>„Hingegeben an sein jetzt zu erlebendes Objekt kannte der Schriftsteller die überzeitliche Idee nicht; sie war ihm immer nur eine der ausgedehnteren ide</w:t>
      </w:r>
      <w:r>
        <w:rPr>
          <w:rFonts w:ascii="Calibri" w:hAnsi="Calibri" w:cs="Calibri"/>
          <w:lang w:val="de-DE"/>
        </w:rPr>
        <w:t>é</w:t>
      </w:r>
      <w:r>
        <w:rPr>
          <w:lang w:val="de-DE"/>
        </w:rPr>
        <w:t>s de l’</w:t>
      </w:r>
      <w:r>
        <w:rPr>
          <w:rFonts w:ascii="Calibri" w:hAnsi="Calibri" w:cs="Calibri"/>
          <w:lang w:val="de-DE"/>
        </w:rPr>
        <w:t>époque und rationale Basis materialer Glücksmöglichkeit“ (</w:t>
      </w:r>
      <w:r w:rsidR="00690478" w:rsidRPr="00D957FC">
        <w:rPr>
          <w:b/>
          <w:lang w:val="de-DE"/>
        </w:rPr>
        <w:t>Hermann Broch: Zolas Vorurteil. In: Schriften zur Literatur 1. Kritik. Frankfurt am Main: Suhrkamp, 1975, 34-40</w:t>
      </w:r>
      <w:r w:rsidR="00690478">
        <w:rPr>
          <w:b/>
          <w:lang w:val="de-DE"/>
        </w:rPr>
        <w:t xml:space="preserve">, </w:t>
      </w:r>
      <w:r>
        <w:rPr>
          <w:rFonts w:ascii="Calibri" w:hAnsi="Calibri" w:cs="Calibri"/>
          <w:lang w:val="de-DE"/>
        </w:rPr>
        <w:t xml:space="preserve">34) </w:t>
      </w:r>
    </w:p>
    <w:p w:rsidR="00551CDD" w:rsidRDefault="00551CDD">
      <w:pPr>
        <w:rPr>
          <w:lang w:val="de-DE"/>
        </w:rPr>
      </w:pPr>
    </w:p>
    <w:p w:rsidR="00FC2E0F" w:rsidRDefault="00FC2E0F" w:rsidP="00FC2E0F">
      <w:pPr>
        <w:pStyle w:val="Heading2"/>
        <w:rPr>
          <w:lang w:val="de-DE"/>
        </w:rPr>
      </w:pPr>
      <w:bookmarkStart w:id="4" w:name="_Toc31886197"/>
      <w:r>
        <w:rPr>
          <w:lang w:val="de-DE"/>
        </w:rPr>
        <w:t>Tolstois Ide</w:t>
      </w:r>
      <w:r w:rsidR="00067543">
        <w:rPr>
          <w:lang w:val="de-DE"/>
        </w:rPr>
        <w:t>alismus</w:t>
      </w:r>
      <w:bookmarkEnd w:id="4"/>
      <w:r w:rsidR="00067543">
        <w:rPr>
          <w:lang w:val="de-DE"/>
        </w:rPr>
        <w:t xml:space="preserve"> </w:t>
      </w:r>
      <w:r>
        <w:rPr>
          <w:lang w:val="de-DE"/>
        </w:rPr>
        <w:t xml:space="preserve"> </w:t>
      </w:r>
    </w:p>
    <w:p w:rsidR="00FC2E0F" w:rsidRDefault="00FC2E0F">
      <w:pPr>
        <w:rPr>
          <w:lang w:val="de-DE"/>
        </w:rPr>
      </w:pPr>
    </w:p>
    <w:p w:rsidR="00690478" w:rsidRDefault="00690478">
      <w:pPr>
        <w:rPr>
          <w:lang w:val="de-DE"/>
        </w:rPr>
      </w:pPr>
      <w:r>
        <w:rPr>
          <w:lang w:val="de-DE"/>
        </w:rPr>
        <w:t xml:space="preserve">Tolstoi hat in der von ihm französisch verfaßten Fassung des Aufsatzes Das Nichttun einen Passus eingerückt, der eben dies nochmals klar und deutlich formuliert: Zola und mit ihm der Positivismus verkennt die Natur der Idee. Während Zola den Menschen nimmt, wie er ist, und von dort aus, der Affirmation des status quo, auf einen sich stets verbessernden Zustand der Menschheit (materiale Wohlfahrt) hinausläuft, scheidet Tolstoi radikal zwischen ist und soll. </w:t>
      </w:r>
    </w:p>
    <w:p w:rsidR="00690478" w:rsidRDefault="00690478">
      <w:pPr>
        <w:rPr>
          <w:lang w:val="de-DE"/>
        </w:rPr>
      </w:pPr>
    </w:p>
    <w:p w:rsidR="00690478" w:rsidRDefault="00690478">
      <w:pPr>
        <w:rPr>
          <w:lang w:val="de-DE"/>
        </w:rPr>
      </w:pPr>
    </w:p>
    <w:p w:rsidR="00186E30" w:rsidRPr="00F47FF5" w:rsidRDefault="00186E30" w:rsidP="00186E30">
      <w:pPr>
        <w:rPr>
          <w:b/>
          <w:lang w:val="de-DE"/>
        </w:rPr>
      </w:pPr>
      <w:r w:rsidRPr="00F47FF5">
        <w:rPr>
          <w:b/>
          <w:lang w:val="de-DE"/>
        </w:rPr>
        <w:t>Oskar Maria Graf: Tolstoj als weltgeschichtliches Ereignis. Kleine Notiz zu seinem fünfzigsten Todestag. In: An manchen Tagen. Reden, Gedanken und Zeitbetrachtungen. München: dtv: 1994, 162-167.</w:t>
      </w:r>
    </w:p>
    <w:p w:rsidR="00186E30" w:rsidRDefault="00186E30" w:rsidP="00186E30">
      <w:pPr>
        <w:rPr>
          <w:lang w:val="de-DE"/>
        </w:rPr>
      </w:pPr>
      <w:r>
        <w:rPr>
          <w:lang w:val="de-DE"/>
        </w:rPr>
        <w:t xml:space="preserve">„Uns einzelnen Menschen trug er als ‚Sinn des Lebens‘ auf, unablässig nach geistiger und moralischer Vervollkommnung zu streben oder, wie er ein anderes Mal sagt, ‚die Auffindung des Göttlichen in uns‘ als die höchste Aufgabe zu betrachten.“ (165) </w:t>
      </w:r>
    </w:p>
    <w:p w:rsidR="00690478" w:rsidRDefault="00690478">
      <w:pPr>
        <w:rPr>
          <w:lang w:val="de-DE"/>
        </w:rPr>
      </w:pPr>
    </w:p>
    <w:p w:rsidR="00690478" w:rsidRDefault="00690478">
      <w:pPr>
        <w:rPr>
          <w:lang w:val="de-DE"/>
        </w:rPr>
      </w:pPr>
    </w:p>
    <w:p w:rsidR="00690478" w:rsidRDefault="00690478">
      <w:pPr>
        <w:rPr>
          <w:lang w:val="de-DE"/>
        </w:rPr>
      </w:pPr>
    </w:p>
    <w:p w:rsidR="00690478" w:rsidRDefault="00527EEF">
      <w:pPr>
        <w:rPr>
          <w:lang w:val="de-DE"/>
        </w:rPr>
      </w:pPr>
      <w:r>
        <w:rPr>
          <w:lang w:val="de-DE"/>
        </w:rPr>
        <w:t xml:space="preserve">Zolas Empfehlung zur Arbeit, welche auf der Idee des Fortschrittes aufbaut, ist nichts anderes als Affirmation des Bestehenden, worauf Tolstoi hinweist. Wahre Veraenderung ist nicht im graduellen Verbessern des Besteenden zu erzielen, sondern an der Orientierung an der ueberzeitlichen Idee des Menschen, d.h. in der platonischen Idee. </w:t>
      </w:r>
    </w:p>
    <w:p w:rsidR="00527EEF" w:rsidRDefault="00527EEF">
      <w:pPr>
        <w:rPr>
          <w:lang w:val="de-DE"/>
        </w:rPr>
      </w:pPr>
    </w:p>
    <w:p w:rsidR="00527EEF" w:rsidRDefault="00527EEF">
      <w:pPr>
        <w:rPr>
          <w:lang w:val="de-DE"/>
        </w:rPr>
      </w:pPr>
      <w:r>
        <w:rPr>
          <w:lang w:val="de-DE"/>
        </w:rPr>
        <w:t>Einwand a): Die Idee hat primaere Realitaet</w:t>
      </w:r>
    </w:p>
    <w:p w:rsidR="00527EEF" w:rsidRDefault="00527EEF">
      <w:pPr>
        <w:rPr>
          <w:lang w:val="de-DE"/>
        </w:rPr>
      </w:pPr>
      <w:r>
        <w:rPr>
          <w:lang w:val="de-DE"/>
        </w:rPr>
        <w:t xml:space="preserve">Die Idee ist nicht, wie der Positivismus und Zola behaupten, eine vage Vorstellung, eine Traumvorstellung. </w:t>
      </w:r>
    </w:p>
    <w:p w:rsidR="00551CDD" w:rsidRDefault="00551CDD">
      <w:pPr>
        <w:rPr>
          <w:lang w:val="de-DE"/>
        </w:rPr>
      </w:pPr>
    </w:p>
    <w:p w:rsidR="00527EEF" w:rsidRDefault="00527EEF">
      <w:pPr>
        <w:rPr>
          <w:lang w:val="de-DE"/>
        </w:rPr>
      </w:pPr>
      <w:r>
        <w:rPr>
          <w:lang w:val="de-DE"/>
        </w:rPr>
        <w:t xml:space="preserve">Einwand b): Die Bestimmung des Menschen ist die Annaeherung an die Idee, welche sich durch die Absage an die Wirklichkeit, den individuellen Beduerfnissen und der Leiblichkeit auszeichnet. </w:t>
      </w:r>
    </w:p>
    <w:p w:rsidR="00FC2E0F" w:rsidRDefault="00FC2E0F">
      <w:pPr>
        <w:rPr>
          <w:lang w:val="de-DE"/>
        </w:rPr>
      </w:pPr>
    </w:p>
    <w:p w:rsidR="00FC2E0F" w:rsidRDefault="00600EF1" w:rsidP="00067543">
      <w:pPr>
        <w:pStyle w:val="Heading1"/>
        <w:rPr>
          <w:lang w:val="de-DE"/>
        </w:rPr>
      </w:pPr>
      <w:bookmarkStart w:id="5" w:name="_Toc31886198"/>
      <w:r>
        <w:rPr>
          <w:lang w:val="de-DE"/>
        </w:rPr>
        <w:t xml:space="preserve">(2) </w:t>
      </w:r>
      <w:r w:rsidR="00FC2E0F">
        <w:rPr>
          <w:lang w:val="de-DE"/>
        </w:rPr>
        <w:t>Nichttun als Unterlassen: die Bergpredigt</w:t>
      </w:r>
      <w:bookmarkEnd w:id="5"/>
    </w:p>
    <w:p w:rsidR="00527EEF" w:rsidRDefault="00527EEF">
      <w:pPr>
        <w:rPr>
          <w:lang w:val="de-DE"/>
        </w:rPr>
      </w:pPr>
    </w:p>
    <w:p w:rsidR="00527EEF" w:rsidRPr="00B9419C" w:rsidRDefault="00527EEF" w:rsidP="00527EEF">
      <w:pPr>
        <w:rPr>
          <w:b/>
          <w:lang w:val="de-DE"/>
        </w:rPr>
      </w:pPr>
      <w:r w:rsidRPr="00B9419C">
        <w:rPr>
          <w:b/>
          <w:lang w:val="de-DE"/>
        </w:rPr>
        <w:t xml:space="preserve">Max Scheler: Die Stellung des Menschen im Kosmos. In: Gesammelte Werke. Band 9. Späte Schriften. Bern und München: Francke, 1976, 7-71. </w:t>
      </w:r>
    </w:p>
    <w:p w:rsidR="00527EEF" w:rsidRDefault="00527EEF" w:rsidP="00527EEF">
      <w:pPr>
        <w:rPr>
          <w:lang w:val="de-DE"/>
        </w:rPr>
      </w:pPr>
      <w:r>
        <w:rPr>
          <w:lang w:val="de-DE"/>
        </w:rPr>
        <w:lastRenderedPageBreak/>
        <w:t xml:space="preserve">„Mensch sein heißt: dieser Art Wirklichkeit ein kräftiges ‚Nein‘ entgegenzuschleudern. [...] Das hat Platon gewußt, wenn er die Ideenschau an eine Abwendung der Seele von dem sinnlichen Gehalt der Dinge knüpft und an eine Einkehr der Seele in sich selbst, um hier die ‚Ursprünge‘ der Dinge zu finden.“ (42) </w:t>
      </w:r>
    </w:p>
    <w:p w:rsidR="00527EEF" w:rsidRPr="00B9419C" w:rsidRDefault="00527EEF" w:rsidP="00527EEF">
      <w:pPr>
        <w:rPr>
          <w:lang w:val="de-DE"/>
        </w:rPr>
      </w:pPr>
      <w:r>
        <w:rPr>
          <w:lang w:val="de-DE"/>
        </w:rPr>
        <w:t xml:space="preserve">„Der Mensch ist das Lebewesen, das kraft seines Geistes sich zu seinem Leben, das heftig es durchschauert, prinzipiell </w:t>
      </w:r>
      <w:r w:rsidRPr="00453D09">
        <w:rPr>
          <w:i/>
          <w:lang w:val="de-DE"/>
        </w:rPr>
        <w:t>asketisch</w:t>
      </w:r>
      <w:r>
        <w:rPr>
          <w:lang w:val="de-DE"/>
        </w:rPr>
        <w:t xml:space="preserve"> – die eigenen Triebimpulse unterdrückend und verdrängend, d.h. ihnen Nahrung durch Wahrnehmungsbilder und Vorstellungen </w:t>
      </w:r>
      <w:r w:rsidRPr="008F1601">
        <w:rPr>
          <w:i/>
          <w:lang w:val="de-DE"/>
        </w:rPr>
        <w:t>versagend</w:t>
      </w:r>
      <w:r>
        <w:rPr>
          <w:lang w:val="de-DE"/>
        </w:rPr>
        <w:t xml:space="preserve"> – verhalten kann. Mit dem Tiere verglichen, das immer ‚Ja‘ zum Wirklichen sagt – auch da noch, wo es verabscheut und flieht –, ist </w:t>
      </w:r>
      <w:r w:rsidRPr="008F1601">
        <w:rPr>
          <w:i/>
          <w:lang w:val="de-DE"/>
        </w:rPr>
        <w:t>der Mensch der ‚Neinsagenkönner</w:t>
      </w:r>
      <w:r>
        <w:rPr>
          <w:lang w:val="de-DE"/>
        </w:rPr>
        <w:t>‘, der ‚</w:t>
      </w:r>
      <w:r w:rsidRPr="008F1601">
        <w:rPr>
          <w:i/>
          <w:lang w:val="de-DE"/>
        </w:rPr>
        <w:t>Asket des Lebens</w:t>
      </w:r>
      <w:r>
        <w:rPr>
          <w:lang w:val="de-DE"/>
        </w:rPr>
        <w:t xml:space="preserve">‘, der ewige Protestant gegen alle bloße Wirklichkeit.“ (44) </w:t>
      </w:r>
    </w:p>
    <w:p w:rsidR="00551CDD" w:rsidRDefault="00551CDD">
      <w:pPr>
        <w:rPr>
          <w:lang w:val="de-DE"/>
        </w:rPr>
      </w:pPr>
    </w:p>
    <w:p w:rsidR="00527EEF" w:rsidRDefault="00280BF1">
      <w:pPr>
        <w:rPr>
          <w:lang w:val="de-DE"/>
        </w:rPr>
      </w:pPr>
      <w:r>
        <w:rPr>
          <w:lang w:val="de-DE"/>
        </w:rPr>
        <w:t xml:space="preserve">Tolstoi und Zola hatten sich bereits ueber die richtige Interpretation der Sexualitaet gestritten. Bekanntlich vertritt Tolstoi mit der Kreutzersonate die These, dass allein in der Ueberwindung der Sexualiaet die Menschheit den Zustand bruederlicher und schwesterlicher Liebe besteht. In einer bemerkenswerten Wendung der Darwinschen Position, wo Erfolg am Ueberleben gemessen wird, behauptet Tolstoi, dass das Ueberleben eben den Misserfolg anzeigt. Wenn die Menschheit in wahrer Liebe vereint sein wird, ist das Ende der Menschheit eingelaeutet, denn dann hat der Mensch keine Rolle mehr fuer die Sexualitaet. </w:t>
      </w:r>
    </w:p>
    <w:p w:rsidR="00280BF1" w:rsidRDefault="00280BF1">
      <w:pPr>
        <w:rPr>
          <w:lang w:val="de-DE"/>
        </w:rPr>
      </w:pPr>
    </w:p>
    <w:p w:rsidR="00280BF1" w:rsidRDefault="00280BF1">
      <w:pPr>
        <w:rPr>
          <w:lang w:val="de-DE"/>
        </w:rPr>
      </w:pPr>
      <w:r>
        <w:rPr>
          <w:lang w:val="de-DE"/>
        </w:rPr>
        <w:t xml:space="preserve">Diese Idee der Liebe war fuer Zola ... </w:t>
      </w:r>
    </w:p>
    <w:p w:rsidR="00280BF1" w:rsidRDefault="00280BF1">
      <w:pPr>
        <w:rPr>
          <w:lang w:val="de-DE"/>
        </w:rPr>
      </w:pPr>
      <w:r>
        <w:rPr>
          <w:lang w:val="de-DE"/>
        </w:rPr>
        <w:t xml:space="preserve">Ebenfalls in der Beurteilung des Phaenomens Krieg ist die Kluft gross. Tolstoi war seit seiner Bekehrung Pazifist geworden und hatte jedliche Form von Gewalt kategorisch abgelehnt. Zola, der mit Debacle einen Kriegsroman des deutsch-frrz. Krieges von 1870 vorlegte, hatte in verschiedenen Zeitungsartikeln und –interviews seine Position folgendermassen charakterisiert. </w:t>
      </w:r>
    </w:p>
    <w:p w:rsidR="00280BF1" w:rsidRDefault="00280BF1">
      <w:pPr>
        <w:rPr>
          <w:lang w:val="de-DE"/>
        </w:rPr>
      </w:pPr>
    </w:p>
    <w:p w:rsidR="00280BF1" w:rsidRDefault="00280BF1">
      <w:pPr>
        <w:rPr>
          <w:lang w:val="de-DE"/>
        </w:rPr>
      </w:pPr>
      <w:r>
        <w:rPr>
          <w:lang w:val="de-DE"/>
        </w:rPr>
        <w:t xml:space="preserve">Weiterhin hatte es Verschiedenheiten der Meinungen zum Thema Geld gegeben. Weil Zola einen Roman Geld geschrieben hatte, wurde er vom Uebersetzer der Tolstosischen Werke in Frz. Helperina-Kaminsky gebeten, ein Vorwort zu einer Sammlung von Artikeln Tolstois zum Thema Geld beizusteuern. Diese erschien zuerst im Figaro, anschliessend als Vorwort des ... erschienen Werkes. Dort heisst es. </w:t>
      </w:r>
    </w:p>
    <w:p w:rsidR="00280BF1" w:rsidRDefault="00280BF1">
      <w:pPr>
        <w:rPr>
          <w:lang w:val="de-DE"/>
        </w:rPr>
      </w:pPr>
    </w:p>
    <w:p w:rsidR="00280BF1" w:rsidRDefault="00280BF1">
      <w:pPr>
        <w:rPr>
          <w:lang w:val="de-DE"/>
        </w:rPr>
      </w:pPr>
      <w:r>
        <w:rPr>
          <w:lang w:val="de-DE"/>
        </w:rPr>
        <w:t xml:space="preserve">Tolstois Neinsagen hatte aber noch nicht seinen Hoehepunkt erreicht. Diesen macht die Schrift des Nichttun aus. Als solche war sie eine Voruebung zu seiner Schrift Das Reich Gottes gewesen. Und dort wurde zentral die These vertreten, dass die Lehre Christ darin bestehe, nicht das zu tun, was man nicht tun darf, und dies sei Aufgabe der Bergpredigt gewesen, diesen Weg aufzuzeigen. </w:t>
      </w:r>
    </w:p>
    <w:p w:rsidR="00280BF1" w:rsidRDefault="00280BF1">
      <w:pPr>
        <w:rPr>
          <w:lang w:val="de-DE"/>
        </w:rPr>
      </w:pPr>
    </w:p>
    <w:p w:rsidR="00280BF1" w:rsidRPr="00C87208" w:rsidRDefault="00280BF1" w:rsidP="00280BF1">
      <w:pPr>
        <w:rPr>
          <w:b/>
          <w:lang w:val="de-DE"/>
        </w:rPr>
      </w:pPr>
      <w:r w:rsidRPr="00C87208">
        <w:rPr>
          <w:b/>
          <w:lang w:val="de-DE"/>
        </w:rPr>
        <w:t xml:space="preserve">Leo N. Tolstoj: Das Reich Gottes ist in Euch oder Das Christentum als eine neue Lebensauffassung, nicht als mystische Lehre. Stuttgart: Deutsche Verlags-Anstalt, 1894. </w:t>
      </w:r>
    </w:p>
    <w:p w:rsidR="00280BF1" w:rsidRPr="00817CF3" w:rsidRDefault="00280BF1" w:rsidP="00280BF1">
      <w:pPr>
        <w:rPr>
          <w:lang w:val="de-DE"/>
        </w:rPr>
      </w:pPr>
      <w:r>
        <w:rPr>
          <w:lang w:val="de-DE"/>
        </w:rPr>
        <w:t xml:space="preserve">„Sie verstehen nicht, daß diese Lehre die Feststellung einer neuen Lebensauffassung ist, die dem neuen Zustande entspricht, in den vor achtzehnhundert Jahren die Menschen eingetreten sind, und die Bestimmung der neuen Thätigkeit, die sich daraus ergibt.“ (130) </w:t>
      </w:r>
    </w:p>
    <w:p w:rsidR="00280BF1" w:rsidRDefault="00280BF1" w:rsidP="00280BF1">
      <w:pPr>
        <w:rPr>
          <w:lang w:val="de-DE"/>
        </w:rPr>
      </w:pPr>
      <w:r>
        <w:rPr>
          <w:lang w:val="de-DE"/>
        </w:rPr>
        <w:t>„Gebt Frieden, [metanoete], das heißt bedenkt euch, sonst geht ihr zu Grunde.“ (134)</w:t>
      </w:r>
    </w:p>
    <w:p w:rsidR="00280BF1" w:rsidRDefault="00280BF1" w:rsidP="00280BF1">
      <w:pPr>
        <w:rPr>
          <w:lang w:val="de-DE"/>
        </w:rPr>
      </w:pPr>
      <w:r>
        <w:rPr>
          <w:lang w:val="de-DE"/>
        </w:rPr>
        <w:lastRenderedPageBreak/>
        <w:t xml:space="preserve">„Aus dieser radikalen Verschiedenheit der Lehre Christi von allen anderen Lehren, die vor ihr waren, die auf der gesellschaftlichen Lebensauffassung beruhten, kommt auch der Unterschied der gesellschaftlichen Gebote und der christlichen Gebote. Die gesellschaftlichen Gebote sind meist positive, sie schreiben bestimmte Handlungen vor, die die Menschen rechtfertigen, die ihnen Rechtlichkeit geben. Die christlichen Gebote (das Gebot der Liebe ist kein Gebot im engeren Sinne des Wortes, sondern der Ausdruck des innersten Kernes der Lehre) die fünf Gebote der Bergpredigt sind alle negativ und zeigen nur, was [143] die Menschen auf einer gewissen Höhe der Entwicklung der Menschheit vermögen, nicht mehr zu thun. Diese Gebote sind gewissermaßen Merkzeichen auf dem unendlichen Wege der Vollkommenheit, auf dem die Menschheit schreitet, Merkzeichen der Stufe der Vollkommenheit, die der Menschheit in einer gewissen Periode der Entwicklung möglich ist. </w:t>
      </w:r>
    </w:p>
    <w:p w:rsidR="00280BF1" w:rsidRDefault="00280BF1" w:rsidP="00280BF1">
      <w:pPr>
        <w:rPr>
          <w:lang w:val="de-DE"/>
        </w:rPr>
      </w:pPr>
      <w:r>
        <w:rPr>
          <w:lang w:val="de-DE"/>
        </w:rPr>
        <w:t xml:space="preserve">In der Bergpredigt hat Christus auch das ewige Ideal ausgedrückt, dem nachzustreben den Menschen eigen ist, und den Grad der Erreichbarkeit, der heute schon in unserer Zeit von den Menschen erlangt werden kann. </w:t>
      </w:r>
    </w:p>
    <w:p w:rsidR="00280BF1" w:rsidRDefault="00280BF1" w:rsidP="00280BF1">
      <w:pPr>
        <w:rPr>
          <w:lang w:val="de-DE"/>
        </w:rPr>
      </w:pPr>
      <w:r>
        <w:rPr>
          <w:lang w:val="de-DE"/>
        </w:rPr>
        <w:t xml:space="preserve">Das Ideal besteht darin, nichts Uebles gegen jemand zu empfinden, in niemand Uebelwollen zu erzeugen, alle zu lieben; das Gebot aber, das die Stufe anzeigt, unter die es sehr gut möglich ist, nicht herunterzugehen in der Erreichung des Ideals, besteht darin, die Menschen nicht mit einem Worte zu kränken. Und das bildet das erste Gebot. </w:t>
      </w:r>
    </w:p>
    <w:p w:rsidR="00280BF1" w:rsidRDefault="00280BF1" w:rsidP="00280BF1">
      <w:pPr>
        <w:rPr>
          <w:lang w:val="de-DE"/>
        </w:rPr>
      </w:pPr>
      <w:r>
        <w:rPr>
          <w:lang w:val="de-DE"/>
        </w:rPr>
        <w:t xml:space="preserve">Das Ideal ist die völlige Keuschheit in Gedanken; das Gebot, welches die Stufe der Erreichbarkeit anzeigt, unter die es vollkommen möglich ist, nicht herunter zu gehen in der Erreichung dieses Ideals, ist die Reinheit des ehelichen Lebens, die Enthaltsamkeit von Unzucht. Und das bildet das zweite Gebot. </w:t>
      </w:r>
    </w:p>
    <w:p w:rsidR="00280BF1" w:rsidRDefault="00280BF1" w:rsidP="00280BF1">
      <w:pPr>
        <w:rPr>
          <w:lang w:val="de-DE"/>
        </w:rPr>
      </w:pPr>
      <w:r>
        <w:rPr>
          <w:lang w:val="de-DE"/>
        </w:rPr>
        <w:t xml:space="preserve">Das Ideal ist, sich nicht um die Zukunft zu kümmern, in der Gegenwart leben; das Gebot, das die Stufe anzeigt, unter die es vollkommen möglich ist, nicht herunter zu gehen – ist, nicht schwören, den [144] Menschen vorher nichts versprechen. Und das ist das dritte Gebot. </w:t>
      </w:r>
    </w:p>
    <w:p w:rsidR="00280BF1" w:rsidRDefault="00280BF1" w:rsidP="00280BF1">
      <w:pPr>
        <w:rPr>
          <w:lang w:val="de-DE"/>
        </w:rPr>
      </w:pPr>
      <w:r>
        <w:rPr>
          <w:lang w:val="de-DE"/>
        </w:rPr>
        <w:t>Das Ideal ist, nie zu irgend einem Zwecke Gewalt gebrauchen; das Gebot, welches die Stufe anzeigt, unter die es vollkommen möglich ist, nicht herunter zu gehen, ist Böses nicht mit Bösem vergelten, die Kränkung ertragen, das Hemd fortgeben. Und das ist das vierte Gebot.</w:t>
      </w:r>
    </w:p>
    <w:p w:rsidR="00280BF1" w:rsidRDefault="00280BF1" w:rsidP="00280BF1">
      <w:pPr>
        <w:rPr>
          <w:lang w:val="de-DE"/>
        </w:rPr>
      </w:pPr>
      <w:r>
        <w:rPr>
          <w:lang w:val="de-DE"/>
        </w:rPr>
        <w:t xml:space="preserve">Das Ideal ist, die Feinde lieben, die uns hassen; das Gebot, das die Stufe der Erreichbarkeit anzeigt, unter die es vollkommen möglich ist, nicht herunter zu gehen, ist, dem Feinde nichts Böses thun, Gutes von ihm sprechen und zwischen ihm und unseren Mitbürgern keinen Unterschied machen.“ (142-144) </w:t>
      </w:r>
    </w:p>
    <w:p w:rsidR="00B82C18" w:rsidRDefault="00B82C18">
      <w:pPr>
        <w:rPr>
          <w:lang w:val="de-DE"/>
        </w:rPr>
      </w:pPr>
    </w:p>
    <w:p w:rsidR="00FC2E0F" w:rsidRDefault="00600EF1" w:rsidP="00067543">
      <w:pPr>
        <w:pStyle w:val="Heading1"/>
        <w:rPr>
          <w:lang w:val="de-DE"/>
        </w:rPr>
      </w:pPr>
      <w:bookmarkStart w:id="6" w:name="_Toc31886199"/>
      <w:r>
        <w:rPr>
          <w:lang w:val="de-DE"/>
        </w:rPr>
        <w:t xml:space="preserve">(3) </w:t>
      </w:r>
      <w:r w:rsidR="00FC2E0F">
        <w:rPr>
          <w:lang w:val="de-DE"/>
        </w:rPr>
        <w:t xml:space="preserve">Nichttun als Unterlassen: </w:t>
      </w:r>
      <w:r w:rsidR="00FC2E0F" w:rsidRPr="002562CE">
        <w:rPr>
          <w:i/>
          <w:lang w:val="de-DE"/>
        </w:rPr>
        <w:t>enkrateia</w:t>
      </w:r>
      <w:bookmarkEnd w:id="6"/>
      <w:r w:rsidR="00FC2E0F">
        <w:rPr>
          <w:lang w:val="de-DE"/>
        </w:rPr>
        <w:t xml:space="preserve"> </w:t>
      </w:r>
    </w:p>
    <w:p w:rsidR="00B633D5" w:rsidRDefault="00B633D5">
      <w:pPr>
        <w:rPr>
          <w:lang w:val="de-DE"/>
        </w:rPr>
      </w:pPr>
      <w:r>
        <w:rPr>
          <w:lang w:val="de-DE"/>
        </w:rPr>
        <w:t xml:space="preserve">Die Enthaltsamkeit bezieht sich also auf das, was nicht getan werden darf. Es bezieht sich aber nach Tolstoi auch auf das, was nicht getan werden muss. Hierbei greift Tolstoi eine Debatte auf, welche von Platon diskutiert wurde und weiterhin von Aristoteles in der Nikomachischen Ethik Aufmerksamkeit schenkte. Dabei geht es um die Begriff enkrateia = Enthaltsamkeit und akrasia = Unenthaltsamkeit. Tolstoi hatte bereits klar und deutlich die Enthaltsamkeit in Beziehung auf die klassischen Themen der akrasia behandelt, naemlich die Enthaltsamkeit gegenueber den sinnlichen Genuessen (Essen, Trinken, Sexualitaet). Aristoteles hatte diese Kategorie als per se nicht-moralisch eingestuft. Das Besondere dieser Kategorie ist, dass es sich hierbei eigentlich um eine moralisch neutrale Taetigkeit handelt, die jedoch zur moralischen Kategorie werden </w:t>
      </w:r>
      <w:r>
        <w:rPr>
          <w:lang w:val="de-DE"/>
        </w:rPr>
        <w:lastRenderedPageBreak/>
        <w:t xml:space="preserve">kann, wenn diesen menschlichen Beduerfnissen zu viel Aufmerksamkeit gezollt wird. [Aristoteles] Tolstoi hatte sich ausfuerhlich zu diesem Thema in einem Vorwort der Schrift . Dort ging es darum, den Vegetarismus (also das Nein dem Fleischessen) zu verteidigen. </w:t>
      </w:r>
    </w:p>
    <w:p w:rsidR="00B633D5" w:rsidRDefault="00B633D5" w:rsidP="00B633D5">
      <w:pPr>
        <w:rPr>
          <w:b/>
          <w:lang w:val="de-DE"/>
        </w:rPr>
      </w:pPr>
    </w:p>
    <w:p w:rsidR="00B633D5" w:rsidRDefault="00B633D5" w:rsidP="00B633D5">
      <w:pPr>
        <w:rPr>
          <w:b/>
          <w:lang w:val="de-DE"/>
        </w:rPr>
      </w:pPr>
    </w:p>
    <w:p w:rsidR="00B633D5" w:rsidRDefault="00B633D5" w:rsidP="00B633D5">
      <w:pPr>
        <w:rPr>
          <w:b/>
          <w:lang w:val="de-DE"/>
        </w:rPr>
      </w:pPr>
      <w:r w:rsidRPr="009F0AE4">
        <w:rPr>
          <w:b/>
          <w:lang w:val="de-DE"/>
        </w:rPr>
        <w:t>Die erste Stufe. Von Leo Tolstoi. Aus dem Russischen übersetzt von Wilhelm Henckel. Berlin. Eduard Rentzel. 1892.</w:t>
      </w:r>
    </w:p>
    <w:p w:rsidR="00B633D5" w:rsidRDefault="00B633D5" w:rsidP="00B633D5">
      <w:pPr>
        <w:rPr>
          <w:lang w:val="de-DE"/>
        </w:rPr>
      </w:pPr>
      <w:r>
        <w:rPr>
          <w:lang w:val="de-DE"/>
        </w:rPr>
        <w:t>„die der Verfasser als Vorrede zu einer Uebersetzung des Buchs von Howard Williams ‚The Ethics of Diet‘ bestimmte und der er den Titel ‚Die erste Stufe‘ gab.“ (3)</w:t>
      </w:r>
    </w:p>
    <w:p w:rsidR="00B633D5" w:rsidRDefault="00B633D5" w:rsidP="00B633D5">
      <w:pPr>
        <w:rPr>
          <w:lang w:val="de-DE"/>
        </w:rPr>
      </w:pPr>
      <w:r>
        <w:rPr>
          <w:lang w:val="de-DE"/>
        </w:rPr>
        <w:t xml:space="preserve"> „Platos Tugenden, beginnend mit der Enthaltsamkeit, erreichen, nach der Tapferkeit und der Weisheit, die Gerechtigkeit; die christlichen Tugenden beginnen mit der Selbstverleugnung und erreichen, nach der Ergebung in den Willen Gottes, die Liebe.“ (8) </w:t>
      </w:r>
    </w:p>
    <w:p w:rsidR="00B633D5" w:rsidRDefault="00B633D5" w:rsidP="00B633D5">
      <w:pPr>
        <w:rPr>
          <w:lang w:val="de-DE"/>
        </w:rPr>
      </w:pPr>
      <w:r>
        <w:rPr>
          <w:lang w:val="de-DE"/>
        </w:rPr>
        <w:t xml:space="preserve">„Die Menschen, welche das Christenthum annahmen und sich ein gutes christliches Leben anzueignen strebten, faßten das Christenthum auch so auf und begannen ihr gutes Leben stets mit der Lossagung von ihren Lüsten; diese Lossagung schloß die heidnische Enthaltsamkeit in sich.“ (9) </w:t>
      </w:r>
    </w:p>
    <w:p w:rsidR="00B633D5" w:rsidRDefault="00B633D5" w:rsidP="00B633D5">
      <w:pPr>
        <w:rPr>
          <w:lang w:val="de-DE"/>
        </w:rPr>
      </w:pPr>
      <w:r>
        <w:rPr>
          <w:lang w:val="de-DE"/>
        </w:rPr>
        <w:t xml:space="preserve">„Weder Christ noch Heide kann es vermeiden, das Werk der Vervollkommnung beim Anfang, d.h. mit der Enthaltsamkeit, zu beginnen, ebenso wenig wie derjenige, der eine Leiter besteigen will, es nicht vermeiden kann, bei der ersten Sprosse anzufangen. Der Unterschied besteht nur darin, daß dem Heiden die Enthaltsamkeit schon an und für sich als eine Tugend erscheint; für den Christen ist aber die Enthaltsamkeit nur ein Theil der Ergebung in den Willen Gottes, die ihrerseits wieder eine nothwendige Vorbedingung zum Streben nach Vollkommenheit ist. Daher konnte auch das wahre Christenthum bei seinem Erscheinen die Tugenden, welche auch das Heidenthum lehrt, nicht verwerfen.“ (11) </w:t>
      </w:r>
    </w:p>
    <w:p w:rsidR="00B633D5" w:rsidRDefault="00B633D5" w:rsidP="00B633D5">
      <w:pPr>
        <w:rPr>
          <w:lang w:val="de-DE"/>
        </w:rPr>
      </w:pPr>
      <w:r>
        <w:rPr>
          <w:lang w:val="de-DE"/>
        </w:rPr>
        <w:t xml:space="preserve">„In alten Zeiten, als die christliche Lehre noch nicht vorhanden war, galt bei allen Lehrern der Lebensweisheit, von Sokrates angefangen, die Enthaltsamkeit – [enkrateia] oder […] – als erste Tugend und es war begreiflich, daß mit ihr jede Tugend beginnen und durch sie hindurchgehen müsse. Es war klar, daß ein Mensch, der keine Gewalt über sich hat, den viele Lüste beherrschen und der ihnen unterworfen ist, kein gutes Leben führen könne.“ (16) </w:t>
      </w:r>
    </w:p>
    <w:p w:rsidR="00B633D5" w:rsidRDefault="00B633D5" w:rsidP="00B633D5">
      <w:pPr>
        <w:rPr>
          <w:lang w:val="de-DE"/>
        </w:rPr>
      </w:pPr>
      <w:r>
        <w:rPr>
          <w:lang w:val="de-DE"/>
        </w:rPr>
        <w:t>„Alles das kommt daher, weil die Leute sich einbilden, daß man ein gutes Leben führen könne, ohne sich die, der Ordnung nach, erste Eigenschaft, die zu einem guten Leben nothwendig ist, anzueignen.</w:t>
      </w:r>
    </w:p>
    <w:p w:rsidR="00B633D5" w:rsidRDefault="00B633D5" w:rsidP="00B633D5">
      <w:pPr>
        <w:rPr>
          <w:lang w:val="de-DE"/>
        </w:rPr>
      </w:pPr>
      <w:r>
        <w:rPr>
          <w:lang w:val="de-DE"/>
        </w:rPr>
        <w:t>Diese erste Eigenschaft ist die Enthaltsamkeit.“ (37)</w:t>
      </w:r>
    </w:p>
    <w:p w:rsidR="00B633D5" w:rsidRDefault="00B633D5" w:rsidP="00B633D5">
      <w:pPr>
        <w:rPr>
          <w:lang w:val="de-DE"/>
        </w:rPr>
      </w:pPr>
      <w:r>
        <w:rPr>
          <w:lang w:val="de-DE"/>
        </w:rPr>
        <w:t>„Ein gutes Leben gab es nie und giebt es nicht ohne Enthaltsamkeit. Es ist nicht denkbar, daß man ein gutes Leben führen kann, ohne enthaltsam zu sein. Jedes Streben nach einem guten Leben muß damit beginnen.</w:t>
      </w:r>
    </w:p>
    <w:p w:rsidR="00B633D5" w:rsidRPr="0053268F" w:rsidRDefault="00B633D5" w:rsidP="00B633D5">
      <w:pPr>
        <w:rPr>
          <w:b/>
          <w:lang w:val="de-DE"/>
        </w:rPr>
      </w:pPr>
      <w:r>
        <w:rPr>
          <w:lang w:val="de-DE"/>
        </w:rPr>
        <w:t>Es giebt eine Stufenleiter der Tugenden, und bei der ersten Stufe muß man anfangen, um die folgenden erreichen zu können; die erste Tugend, die sich der Mensch aneignen muß, wenn er zu den folgenden gelangen will, ist aber das, was die Alten [enkrateia] oder […], d.h. Enthaltsamkeit, Besonnenheit, Selbstbeherrschung nannten.“ (37)</w:t>
      </w:r>
    </w:p>
    <w:p w:rsidR="00B633D5" w:rsidRDefault="00B633D5">
      <w:pPr>
        <w:rPr>
          <w:lang w:val="de-DE"/>
        </w:rPr>
      </w:pPr>
    </w:p>
    <w:p w:rsidR="00B633D5" w:rsidRDefault="00B633D5">
      <w:pPr>
        <w:rPr>
          <w:lang w:val="de-DE"/>
        </w:rPr>
      </w:pPr>
      <w:r>
        <w:rPr>
          <w:lang w:val="de-DE"/>
        </w:rPr>
        <w:t xml:space="preserve">Was Tolstois Position nun in der Schrift das Nichttun so besonders macht, ist, dass er die Arbeit, wie sie in der westlichen Welt vom Positivismus (nicht nur), allen voran Zola, gepredigt wird, in der Kategorie akrasia verordnet. Arbeit, und darauf wurde Tolstoi nicht muede hinzuweisen, ist </w:t>
      </w:r>
      <w:r>
        <w:rPr>
          <w:lang w:val="de-DE"/>
        </w:rPr>
        <w:lastRenderedPageBreak/>
        <w:t xml:space="preserve">notwendig, weil nur durch Arbeit die menschlichen Grundbeduerfnisse gedeckt werden koennen. Ohne Arbeit kann kein Mensch ueberleben. Was die Arbeit Zolascher Praegung jedoch zum Problem macht, zur Inkontinenz, das ist das Heilsversprechen, mit dem sie propagiert wird. </w:t>
      </w:r>
    </w:p>
    <w:p w:rsidR="00FC2E0F" w:rsidRDefault="00FC2E0F">
      <w:pPr>
        <w:rPr>
          <w:lang w:val="de-DE"/>
        </w:rPr>
      </w:pPr>
    </w:p>
    <w:p w:rsidR="00FC2E0F" w:rsidRDefault="00600EF1" w:rsidP="00067543">
      <w:pPr>
        <w:pStyle w:val="Heading1"/>
        <w:rPr>
          <w:lang w:val="de-DE"/>
        </w:rPr>
      </w:pPr>
      <w:bookmarkStart w:id="7" w:name="_Toc31886200"/>
      <w:r>
        <w:rPr>
          <w:lang w:val="de-DE"/>
        </w:rPr>
        <w:t xml:space="preserve">(4) </w:t>
      </w:r>
      <w:r w:rsidR="00FC2E0F">
        <w:rPr>
          <w:lang w:val="de-DE"/>
        </w:rPr>
        <w:t>Nichttun als Unterlassen: ziviler Ungehorsam</w:t>
      </w:r>
      <w:bookmarkEnd w:id="7"/>
    </w:p>
    <w:p w:rsidR="006A5619" w:rsidRDefault="006A5619">
      <w:pPr>
        <w:rPr>
          <w:lang w:val="de-DE"/>
        </w:rPr>
      </w:pPr>
    </w:p>
    <w:p w:rsidR="006A5619" w:rsidRDefault="006A5619">
      <w:pPr>
        <w:rPr>
          <w:lang w:val="de-DE"/>
        </w:rPr>
      </w:pPr>
      <w:r>
        <w:rPr>
          <w:lang w:val="de-DE"/>
        </w:rPr>
        <w:t>Das Nichttun, welches Tolstoi vorschwebt, hat also nichts mit Nichtstun zu tun. Es ist die Freihiet, nein zu sagen zu allem, was entweder nicht getan werden darf oder nicht getan werden muss, was von Zerstreuung bis zur Betaeubung reicht. Es geht also nicht nur um die Unterlassung, es geht auch um civil disobedience. Tolstoi unterstreicht immer wieder, dass es zwar heisst „widerstrebt nicht dem Uebel“, es aber heisst: „Widerstrebt nicht dem Uebel mit Gewalt“. Und in der Tat haben sich politische Aktivisten auf Tolstoi berufen, allen voran Gandhi</w:t>
      </w:r>
      <w:r w:rsidR="00E25F1A">
        <w:rPr>
          <w:rStyle w:val="FootnoteReference"/>
          <w:lang w:val="de-DE"/>
        </w:rPr>
        <w:footnoteReference w:id="13"/>
      </w:r>
      <w:r>
        <w:rPr>
          <w:lang w:val="de-DE"/>
        </w:rPr>
        <w:t xml:space="preserve"> und seinem zivilen Ungehorsam. Nein sagen hat eben auch die politische Komponente des Ungehorsams gegenueber unrechtmaessiger Macht und Gewalt. Ein grosser Fan von Tolstoi, Oskar Maria Graf, der stets ein Portraeit Tolstois an seiner Wand haengen hatte, weist auf diesen Zusammenhang hin, was auch fuer ihn ganz persoenlich </w:t>
      </w:r>
      <w:r w:rsidR="00E25F1A">
        <w:rPr>
          <w:lang w:val="de-DE"/>
        </w:rPr>
        <w:t xml:space="preserve">in der Revolution von 1918/19 eine wichtige Rolle spielte. </w:t>
      </w:r>
    </w:p>
    <w:p w:rsidR="00E25F1A" w:rsidRDefault="00E25F1A">
      <w:pPr>
        <w:rPr>
          <w:lang w:val="de-DE"/>
        </w:rPr>
      </w:pPr>
    </w:p>
    <w:p w:rsidR="00E25F1A" w:rsidRPr="00F340F0" w:rsidRDefault="00E25F1A" w:rsidP="00E25F1A">
      <w:pPr>
        <w:rPr>
          <w:lang w:val="de-DE"/>
        </w:rPr>
      </w:pPr>
      <w:r>
        <w:rPr>
          <w:lang w:val="de-DE"/>
        </w:rPr>
        <w:t>„Ist nicht in jedem modernen Sitzstreik noch ein Hauch davon, da ja unzweifelhaft dadurch die Macht des gewaltlosen ‚Nichttuns‘ demonstriert wird?“ (167)</w:t>
      </w:r>
    </w:p>
    <w:p w:rsidR="00E25F1A" w:rsidRDefault="00E25F1A">
      <w:pPr>
        <w:rPr>
          <w:lang w:val="de-DE"/>
        </w:rPr>
      </w:pPr>
    </w:p>
    <w:p w:rsidR="00E25F1A" w:rsidRPr="00B06393" w:rsidRDefault="00E25F1A" w:rsidP="00E25F1A">
      <w:pPr>
        <w:rPr>
          <w:b/>
          <w:lang w:val="de-DE"/>
        </w:rPr>
      </w:pPr>
      <w:r w:rsidRPr="00B06393">
        <w:rPr>
          <w:b/>
          <w:lang w:val="de-DE"/>
        </w:rPr>
        <w:t xml:space="preserve">Oskar Maria Graf: Wir sind Gefangene. </w:t>
      </w:r>
      <w:r>
        <w:rPr>
          <w:b/>
          <w:lang w:val="de-DE"/>
        </w:rPr>
        <w:t xml:space="preserve">Ein Bekenntnis. </w:t>
      </w:r>
      <w:r w:rsidRPr="00B06393">
        <w:rPr>
          <w:b/>
          <w:lang w:val="de-DE"/>
        </w:rPr>
        <w:t xml:space="preserve">München: dtv, 1991. </w:t>
      </w:r>
    </w:p>
    <w:p w:rsidR="00E25F1A" w:rsidRDefault="00E25F1A" w:rsidP="00E25F1A">
      <w:pPr>
        <w:rPr>
          <w:lang w:val="de-DE"/>
        </w:rPr>
      </w:pPr>
      <w:r>
        <w:rPr>
          <w:lang w:val="de-DE"/>
        </w:rPr>
        <w:t xml:space="preserve">„denn in all meinem Oberflächenleben beschäftigte ich mich seit langem sehr intensiv mit den Werken und Lehren meines gewaltigen Lehrmeisters Tolstoj, und das war nicht spurlos in mir geblieben.“ (8) </w:t>
      </w:r>
    </w:p>
    <w:p w:rsidR="00E25F1A" w:rsidRDefault="00E25F1A" w:rsidP="00E25F1A">
      <w:pPr>
        <w:rPr>
          <w:lang w:val="de-DE"/>
        </w:rPr>
      </w:pPr>
      <w:r>
        <w:rPr>
          <w:lang w:val="de-DE"/>
        </w:rPr>
        <w:t xml:space="preserve"> „‘Den Befehl verweigern beim Militär! Einfach nicht mehr mitmachen!‘ rief ich noch etwas unsicher und erntete sofort Beifall. Man sah mich vertrauenerweckend an. Ich war gerührt glücklich.“ (318) </w:t>
      </w:r>
    </w:p>
    <w:p w:rsidR="00E25F1A" w:rsidRDefault="00E25F1A" w:rsidP="00E25F1A">
      <w:pPr>
        <w:rPr>
          <w:lang w:val="de-DE"/>
        </w:rPr>
      </w:pPr>
      <w:r>
        <w:rPr>
          <w:lang w:val="de-DE"/>
        </w:rPr>
        <w:t>„‘Vernichtung aller Maschinen! Streik! Einfach nichts, gar nichts mehr machen!‘ brüllte ich.</w:t>
      </w:r>
    </w:p>
    <w:p w:rsidR="00E25F1A" w:rsidRDefault="00E25F1A" w:rsidP="00E25F1A">
      <w:pPr>
        <w:rPr>
          <w:lang w:val="de-DE"/>
        </w:rPr>
      </w:pPr>
      <w:r>
        <w:rPr>
          <w:lang w:val="de-DE"/>
        </w:rPr>
        <w:lastRenderedPageBreak/>
        <w:t>‚Anarchist!‘ warf man mir entgegen. Ich hörte nicht drauf. Ich brachte meine Forderung abermals vor.“ (326)</w:t>
      </w:r>
    </w:p>
    <w:p w:rsidR="00E25F1A" w:rsidRDefault="00E25F1A" w:rsidP="00E25F1A">
      <w:pPr>
        <w:rPr>
          <w:lang w:val="de-DE"/>
        </w:rPr>
      </w:pPr>
      <w:r>
        <w:rPr>
          <w:lang w:val="de-DE"/>
        </w:rPr>
        <w:t xml:space="preserve"> „‘[…] … Dann kommt die absolute Passivität … Die allein ist wichtig! … Nicht dagegen aufstehen, daß Krieg ist, einfach ihn in nichts unterstützen, das ist’s …‘</w:t>
      </w:r>
    </w:p>
    <w:p w:rsidR="00E25F1A" w:rsidRDefault="00E25F1A" w:rsidP="00E25F1A">
      <w:pPr>
        <w:rPr>
          <w:lang w:val="de-DE"/>
        </w:rPr>
      </w:pPr>
      <w:r>
        <w:rPr>
          <w:lang w:val="de-DE"/>
        </w:rPr>
        <w:t>‚Tolstoj gilt jetzt nicht‘, warf mein Genosse hin.</w:t>
      </w:r>
    </w:p>
    <w:p w:rsidR="00E25F1A" w:rsidRDefault="00E25F1A" w:rsidP="00E25F1A">
      <w:pPr>
        <w:rPr>
          <w:lang w:val="de-DE"/>
        </w:rPr>
      </w:pPr>
      <w:r>
        <w:rPr>
          <w:lang w:val="de-DE"/>
        </w:rPr>
        <w:t>‚Ach was, Tolstoj! … Der gilt immer und ewig! … Aber das ist doch richtig: Wenn keiner mehr mitmacht, ist’s aus‘, bestand ich.“ (341)</w:t>
      </w:r>
    </w:p>
    <w:p w:rsidR="00E25F1A" w:rsidRDefault="00E25F1A" w:rsidP="00E25F1A">
      <w:pPr>
        <w:rPr>
          <w:lang w:val="de-DE"/>
        </w:rPr>
      </w:pPr>
      <w:r>
        <w:rPr>
          <w:lang w:val="de-DE"/>
        </w:rPr>
        <w:t>‚[…] … Sie haben doch da einmal mit Ihrem Freund gesagt, man muß dem Staat den Gehorsam verweigern! … […]‘.“ (357)</w:t>
      </w:r>
    </w:p>
    <w:p w:rsidR="00E25F1A" w:rsidRDefault="00E25F1A" w:rsidP="00E25F1A">
      <w:pPr>
        <w:rPr>
          <w:lang w:val="de-DE"/>
        </w:rPr>
      </w:pPr>
      <w:r>
        <w:rPr>
          <w:lang w:val="de-DE"/>
        </w:rPr>
        <w:t xml:space="preserve"> „‘[…] Ich fordere die Soldaten auf, den Befehl zu verweigern und aus den Kasernen zu gehen!‘“ (386)</w:t>
      </w:r>
    </w:p>
    <w:p w:rsidR="00E25F1A" w:rsidRDefault="00E25F1A" w:rsidP="00E25F1A">
      <w:pPr>
        <w:rPr>
          <w:lang w:val="de-DE"/>
        </w:rPr>
      </w:pPr>
      <w:r>
        <w:rPr>
          <w:lang w:val="de-DE"/>
        </w:rPr>
        <w:t xml:space="preserve"> „‘Generalstreik! Einfach einen ganz radikalen Generalstreik. […]‘.“ (416)</w:t>
      </w:r>
    </w:p>
    <w:p w:rsidR="00E25F1A" w:rsidRDefault="00E25F1A" w:rsidP="00E25F1A">
      <w:pPr>
        <w:rPr>
          <w:lang w:val="de-DE"/>
        </w:rPr>
      </w:pPr>
      <w:r>
        <w:rPr>
          <w:lang w:val="de-DE"/>
        </w:rPr>
        <w:t>„‘Ach was, das ist dummes Zeug‘, schimpfte ich und fing wieder mit meiner Idee vom allgemeinen Streik an. ‚Generalstreik, bis die Bürger und alle Gegenrevolutionäre zu Kreuz kriechen … Dann muß ganz neu angefangen werden … Terror ist Unsinn.‘</w:t>
      </w:r>
    </w:p>
    <w:p w:rsidR="00E25F1A" w:rsidRDefault="00E25F1A" w:rsidP="00E25F1A">
      <w:pPr>
        <w:rPr>
          <w:lang w:val="de-DE"/>
        </w:rPr>
      </w:pPr>
      <w:r>
        <w:rPr>
          <w:lang w:val="de-DE"/>
        </w:rPr>
        <w:t>‚Das ist doch auch Terror, Idiot!‘ brüllte Schorsch.</w:t>
      </w:r>
    </w:p>
    <w:p w:rsidR="00E25F1A" w:rsidRDefault="00E25F1A" w:rsidP="00E25F1A">
      <w:pPr>
        <w:rPr>
          <w:lang w:val="de-DE"/>
        </w:rPr>
      </w:pPr>
      <w:r>
        <w:rPr>
          <w:lang w:val="de-DE"/>
        </w:rPr>
        <w:t xml:space="preserve">‚Ja, aber ohne Blutvergießen‘, erwiderte ich.“ (419) </w:t>
      </w:r>
    </w:p>
    <w:p w:rsidR="00E25F1A" w:rsidRDefault="00E25F1A" w:rsidP="00E25F1A">
      <w:pPr>
        <w:rPr>
          <w:lang w:val="de-DE"/>
        </w:rPr>
      </w:pPr>
      <w:r>
        <w:rPr>
          <w:lang w:val="de-DE"/>
        </w:rPr>
        <w:t xml:space="preserve">„Ich stieg auf die Rednerbühne und schrie etwas von Generalstreik und Menschsein.“ (424) </w:t>
      </w:r>
    </w:p>
    <w:p w:rsidR="00E25F1A" w:rsidRDefault="00E25F1A" w:rsidP="00E25F1A">
      <w:pPr>
        <w:rPr>
          <w:lang w:val="de-DE"/>
        </w:rPr>
      </w:pPr>
      <w:r>
        <w:rPr>
          <w:lang w:val="de-DE"/>
        </w:rPr>
        <w:t>„‘[…] Sag‘ nein! […]‘.“ (426)</w:t>
      </w:r>
    </w:p>
    <w:p w:rsidR="00E25F1A" w:rsidRDefault="00E25F1A" w:rsidP="00E25F1A">
      <w:pPr>
        <w:rPr>
          <w:lang w:val="de-DE"/>
        </w:rPr>
      </w:pPr>
      <w:r>
        <w:rPr>
          <w:lang w:val="de-DE"/>
        </w:rPr>
        <w:t>„‘[…] Es muß jetzt wieder anarchistisch gearbeitet werden! […]‘.“ (427)</w:t>
      </w:r>
    </w:p>
    <w:p w:rsidR="00E25F1A" w:rsidRDefault="00E25F1A" w:rsidP="00E25F1A">
      <w:pPr>
        <w:rPr>
          <w:lang w:val="de-DE"/>
        </w:rPr>
      </w:pPr>
      <w:r>
        <w:rPr>
          <w:lang w:val="de-DE"/>
        </w:rPr>
        <w:t xml:space="preserve">„‘Den kennen wir schon! Er ist ein harmloser Tolstojaner und sehr verworren!‘ fing er an“ (428) </w:t>
      </w:r>
    </w:p>
    <w:p w:rsidR="00E25F1A" w:rsidRPr="00B06393" w:rsidRDefault="00E25F1A" w:rsidP="00E25F1A">
      <w:pPr>
        <w:rPr>
          <w:lang w:val="de-DE"/>
        </w:rPr>
      </w:pPr>
    </w:p>
    <w:p w:rsidR="00E25F1A" w:rsidRDefault="00E25F1A">
      <w:pPr>
        <w:rPr>
          <w:lang w:val="de-DE"/>
        </w:rPr>
      </w:pPr>
    </w:p>
    <w:p w:rsidR="00FC2E0F" w:rsidRDefault="00600EF1" w:rsidP="00FC2E0F">
      <w:pPr>
        <w:pStyle w:val="Heading1"/>
        <w:rPr>
          <w:lang w:val="de-DE"/>
        </w:rPr>
      </w:pPr>
      <w:bookmarkStart w:id="8" w:name="_Toc31886201"/>
      <w:r>
        <w:rPr>
          <w:lang w:val="de-DE"/>
        </w:rPr>
        <w:t>(5</w:t>
      </w:r>
      <w:r w:rsidR="00FC2E0F">
        <w:rPr>
          <w:lang w:val="de-DE"/>
        </w:rPr>
        <w:t xml:space="preserve">) Nichttun als Gewaehrenlassen: </w:t>
      </w:r>
      <w:r w:rsidR="00FC2E0F" w:rsidRPr="002562CE">
        <w:rPr>
          <w:i/>
          <w:lang w:val="de-DE"/>
        </w:rPr>
        <w:t>wu wei</w:t>
      </w:r>
      <w:bookmarkEnd w:id="8"/>
      <w:r w:rsidR="00FC2E0F">
        <w:rPr>
          <w:lang w:val="de-DE"/>
        </w:rPr>
        <w:t xml:space="preserve"> </w:t>
      </w:r>
    </w:p>
    <w:p w:rsidR="00FC2E0F" w:rsidRDefault="00FC2E0F">
      <w:pPr>
        <w:rPr>
          <w:lang w:val="de-DE"/>
        </w:rPr>
      </w:pPr>
    </w:p>
    <w:p w:rsidR="00B633D5" w:rsidRDefault="00E25F1A">
      <w:pPr>
        <w:rPr>
          <w:lang w:val="de-DE"/>
        </w:rPr>
      </w:pPr>
      <w:r>
        <w:rPr>
          <w:lang w:val="de-DE"/>
        </w:rPr>
        <w:t>Der Begriff Nichttun ist eien Uebersetzung des frz. Le non-agir, welches wiederum eine Uebersetzung des chinesischen wu wei ist, wie Julien den Begriff uebersetzt. (im russischen Nedelanie). Wenn wir uns nun dem wu wei zuwenden, dann lernen wir die andere Seite des Nichttun kennen. Es ist die Kehrseite des vom Subjekt aktiv ausgetragenen Negation einer Handlung, mit dem Fokus auf das aktive Unterlassen. Die Kehrseite ist das Gewaehrenlassen, also die Betrachtung dessen, was passiert, wenn das Subjekt sich zuruecknimmt. Wenn der individuelle Wille negiert wird und Platz gemacht wird fuer ein hoeheres Prinzip. Das ist mit wu wei gemeint</w:t>
      </w:r>
      <w:r w:rsidR="00AD1D6C">
        <w:rPr>
          <w:lang w:val="de-DE"/>
        </w:rPr>
        <w:t xml:space="preserve">, nicht der Einzelwille macht sich bemerkbar, sondern das goettliche Prinzip tritt in den einzelnen ein, egal, ob daraus eine Handlung folgt oder nicht. </w:t>
      </w:r>
    </w:p>
    <w:p w:rsidR="00B633D5" w:rsidRDefault="00B633D5">
      <w:pPr>
        <w:rPr>
          <w:lang w:val="de-DE"/>
        </w:rPr>
      </w:pPr>
    </w:p>
    <w:p w:rsidR="00B633D5" w:rsidRDefault="00B633D5">
      <w:pPr>
        <w:rPr>
          <w:lang w:val="de-DE"/>
        </w:rPr>
      </w:pPr>
    </w:p>
    <w:p w:rsidR="00B633D5" w:rsidRDefault="00B633D5">
      <w:pPr>
        <w:pBdr>
          <w:top w:val="single" w:sz="6" w:space="1" w:color="auto"/>
          <w:bottom w:val="single" w:sz="6" w:space="1" w:color="auto"/>
        </w:pBdr>
        <w:rPr>
          <w:lang w:val="de-DE"/>
        </w:rPr>
      </w:pPr>
      <w:r>
        <w:rPr>
          <w:lang w:val="de-DE"/>
        </w:rPr>
        <w:t xml:space="preserve">Im allgemeinen Bewusstsein, dass wir das Ende des Baconschen Zeitalters erreicht haben, dass fuer uns das Versprechen, durch Wissenschaft und Technik </w:t>
      </w:r>
      <w:r w:rsidR="006A5619">
        <w:rPr>
          <w:lang w:val="de-DE"/>
        </w:rPr>
        <w:t xml:space="preserve">und durch Wissenschaft und Technik allein ein besseres Leben erreicht haben, ist auch das Bewusstsein gewachsen, dass Arbeit nicht allein selig macht. Das beweisen Publikationen wie ... Aber auch die Zerstreuung durch digitale Medien ist zur weapon of mass distraction geworden, und so sind immer mehr an digital detox und anderen Weisen unserer Wirtschaftsweise Nein zu sagen interessiert. </w:t>
      </w:r>
    </w:p>
    <w:p w:rsidR="006A5619" w:rsidRDefault="006A5619">
      <w:pPr>
        <w:rPr>
          <w:lang w:val="de-DE"/>
        </w:rPr>
      </w:pPr>
    </w:p>
    <w:p w:rsidR="006A5619" w:rsidRDefault="006A5619">
      <w:pPr>
        <w:rPr>
          <w:lang w:val="de-DE"/>
        </w:rPr>
      </w:pPr>
    </w:p>
    <w:p w:rsidR="00B82C18" w:rsidRDefault="00B82C18">
      <w:pPr>
        <w:rPr>
          <w:lang w:val="de-DE"/>
        </w:rPr>
      </w:pPr>
    </w:p>
    <w:p w:rsidR="00B82C18" w:rsidRDefault="004E27BA">
      <w:pPr>
        <w:rPr>
          <w:lang w:val="de-DE"/>
        </w:rPr>
      </w:pPr>
      <w:r>
        <w:rPr>
          <w:lang w:val="de-DE"/>
        </w:rPr>
        <w:t>Enthaltsamkeit: Krieg und Gewalt (Zolas Debacle, Sedan, etc.), Sexualität (Kreutzersonate)</w:t>
      </w:r>
      <w:r w:rsidR="00FE1B72">
        <w:rPr>
          <w:lang w:val="de-DE"/>
        </w:rPr>
        <w:t xml:space="preserve">, Arbeit </w:t>
      </w:r>
    </w:p>
    <w:p w:rsidR="00FE1B72" w:rsidRPr="00FF308A" w:rsidRDefault="00FE1B72">
      <w:pPr>
        <w:rPr>
          <w:lang w:val="de-DE"/>
        </w:rPr>
      </w:pPr>
      <w:r>
        <w:rPr>
          <w:lang w:val="de-DE"/>
        </w:rPr>
        <w:t>Heil: christlicher Sokratismus</w:t>
      </w:r>
    </w:p>
    <w:p w:rsidR="00A47D3D" w:rsidRDefault="00A47D3D">
      <w:pPr>
        <w:rPr>
          <w:lang w:val="de-DE"/>
        </w:rPr>
      </w:pPr>
    </w:p>
    <w:p w:rsidR="0053268F" w:rsidRDefault="0053268F">
      <w:pPr>
        <w:rPr>
          <w:lang w:val="de-DE"/>
        </w:rPr>
      </w:pPr>
      <w:r>
        <w:rPr>
          <w:lang w:val="de-DE"/>
        </w:rPr>
        <w:t>„Die ganze Lehre besteht darin, daß das, was wir unser Ich, unser Leben nennen, ein durch unsern Körper beschränktes göttliches Prinzip ist, das durch die Liebe in uns zum Ausdruck kommt, und das darum auch das wahrhafte, göttliche, freie Leben eines jeden Menschen in der Liebe zum Ausdruck gelangt.“ (</w:t>
      </w:r>
      <w:r w:rsidRPr="009E57E8">
        <w:rPr>
          <w:b/>
          <w:lang w:val="de-DE"/>
        </w:rPr>
        <w:t>Leo N. Tolstoi. Das Gesetz der Gewalt und das Gesetz der Liebe. Hans Bondy Verlag. Berlin 1909. Autorisierte Übersetzung von A. Steinberg</w:t>
      </w:r>
      <w:r>
        <w:rPr>
          <w:b/>
          <w:lang w:val="de-DE"/>
        </w:rPr>
        <w:t xml:space="preserve">, </w:t>
      </w:r>
      <w:r>
        <w:rPr>
          <w:lang w:val="de-DE"/>
        </w:rPr>
        <w:t>45)</w:t>
      </w:r>
    </w:p>
    <w:p w:rsidR="0053268F" w:rsidRDefault="0053268F">
      <w:pPr>
        <w:rPr>
          <w:b/>
          <w:lang w:val="de-DE"/>
        </w:rPr>
      </w:pPr>
    </w:p>
    <w:p w:rsidR="00BE6AFF" w:rsidRPr="00BE6AFF" w:rsidRDefault="00BE6AFF">
      <w:pPr>
        <w:rPr>
          <w:lang w:val="de-DE"/>
        </w:rPr>
      </w:pPr>
      <w:r w:rsidRPr="00BE6AFF">
        <w:rPr>
          <w:lang w:val="de-DE"/>
        </w:rPr>
        <w:t xml:space="preserve">Freilich, auch Zola wird schreiben, dass das letzte Ziel der Menschheit ein Leben in Gerechtigkeit und Liebe sein wird, der Weg dorthin könnte allerdings nicht unterschiedlicher sein. </w:t>
      </w:r>
      <w:r>
        <w:rPr>
          <w:lang w:val="de-DE"/>
        </w:rPr>
        <w:t xml:space="preserve">Für Zola wird der Zustand durch Arbeit hervorgerufen, Tolstoi jedoch sieht klar, dass wahre Veränderung nur durch einen Gesinnungswandel in die Welt kommen kann. Dieser Gesinnungswandel </w:t>
      </w:r>
    </w:p>
    <w:p w:rsidR="00BE6AFF" w:rsidRDefault="00BE6AFF">
      <w:pPr>
        <w:rPr>
          <w:b/>
          <w:lang w:val="de-DE"/>
        </w:rPr>
      </w:pPr>
    </w:p>
    <w:p w:rsidR="0053268F" w:rsidRPr="0053268F" w:rsidRDefault="0053268F" w:rsidP="0053268F">
      <w:pPr>
        <w:rPr>
          <w:b/>
          <w:lang w:val="de-DE"/>
        </w:rPr>
      </w:pPr>
      <w:r>
        <w:rPr>
          <w:lang w:val="de-DE"/>
        </w:rPr>
        <w:t>„Den Menschen aber die Erkenntnis der Wahrheit mitteilen kann der Christ nicht anders als durch die Enthaltung von jener Verirrung, in der sich die Menschen befinden, die ihm Böses zufügen, durch Vergeltung des Bösen mit Gutem.“ (</w:t>
      </w:r>
      <w:r w:rsidRPr="00C247EA">
        <w:rPr>
          <w:b/>
          <w:lang w:val="de-DE"/>
        </w:rPr>
        <w:t>Leo N. Tolstoi: Mein Glaube. Von dem Verfasser genehmigte Ausgabe von Raphael Löwenfeld. Leipzig: Diederichs, 1902</w:t>
      </w:r>
      <w:r>
        <w:rPr>
          <w:b/>
          <w:lang w:val="de-DE"/>
        </w:rPr>
        <w:t xml:space="preserve">, </w:t>
      </w:r>
      <w:r>
        <w:rPr>
          <w:lang w:val="de-DE"/>
        </w:rPr>
        <w:t xml:space="preserve">352) </w:t>
      </w:r>
    </w:p>
    <w:p w:rsidR="0053268F" w:rsidRDefault="0053268F">
      <w:pPr>
        <w:rPr>
          <w:b/>
          <w:lang w:val="de-DE"/>
        </w:rPr>
      </w:pPr>
    </w:p>
    <w:p w:rsidR="0053268F" w:rsidRDefault="0053268F">
      <w:pPr>
        <w:rPr>
          <w:b/>
          <w:lang w:val="de-DE"/>
        </w:rPr>
      </w:pPr>
    </w:p>
    <w:p w:rsidR="0053268F" w:rsidRDefault="0053268F">
      <w:pPr>
        <w:rPr>
          <w:lang w:val="de-DE"/>
        </w:rPr>
      </w:pPr>
    </w:p>
    <w:p w:rsidR="00D71365" w:rsidRPr="0026302D" w:rsidRDefault="00D71365" w:rsidP="00D71365">
      <w:pPr>
        <w:rPr>
          <w:lang w:val="de-DE"/>
        </w:rPr>
      </w:pPr>
    </w:p>
    <w:p w:rsidR="00D71365" w:rsidRDefault="00D71365" w:rsidP="00D71365">
      <w:pPr>
        <w:rPr>
          <w:lang w:val="de-DE"/>
        </w:rPr>
      </w:pPr>
      <w:r w:rsidRPr="00CA615B">
        <w:rPr>
          <w:lang w:val="de-DE"/>
        </w:rPr>
        <w:t>“Nicht um Patriotismus müssen wir uns bemühen</w:t>
      </w:r>
      <w:r>
        <w:rPr>
          <w:lang w:val="de-DE"/>
        </w:rPr>
        <w:t>, sondern darum, daß wir jenes Licht, das in uns brennt, ins Leben hineintragen, dieses Leben verändern und dem Ideal annähern, das uns vorschwebt.“ (206)</w:t>
      </w:r>
    </w:p>
    <w:p w:rsidR="00D71365" w:rsidRPr="0026302D" w:rsidRDefault="00D71365" w:rsidP="00D71365">
      <w:pPr>
        <w:rPr>
          <w:lang w:val="de-DE"/>
        </w:rPr>
      </w:pPr>
      <w:r>
        <w:rPr>
          <w:lang w:val="de-DE"/>
        </w:rPr>
        <w:t xml:space="preserve">An M.E. Zdziechowski, 10. </w:t>
      </w:r>
      <w:r w:rsidRPr="0026302D">
        <w:rPr>
          <w:lang w:val="de-DE"/>
        </w:rPr>
        <w:t>September 1895, Marian Edmundowicz Zdziechowski (1861-1938), polnischer Slawist, Historiker und Literaturwissenschaftler</w:t>
      </w:r>
    </w:p>
    <w:p w:rsidR="00D71365" w:rsidRPr="0026302D" w:rsidRDefault="00D71365" w:rsidP="00D71365">
      <w:pPr>
        <w:rPr>
          <w:lang w:val="de-DE"/>
        </w:rPr>
      </w:pPr>
    </w:p>
    <w:p w:rsidR="00D71365" w:rsidRDefault="00D71365" w:rsidP="00D71365">
      <w:pPr>
        <w:rPr>
          <w:lang w:val="de-DE"/>
        </w:rPr>
      </w:pPr>
      <w:r>
        <w:rPr>
          <w:lang w:val="de-DE"/>
        </w:rPr>
        <w:t>„Es gibt nur eine einzige Rettung aus Eurer Lage: haltzumachen, zur Besinnung zu kommen, sich umzublicken und sich Ideale suchen, das heißt etwas, das so ist, wie man selbst sein möchte, und so zu leben, daß man wird, wie man sein möchte.“ (218)</w:t>
      </w:r>
    </w:p>
    <w:p w:rsidR="00D71365" w:rsidRDefault="00D71365" w:rsidP="00D71365">
      <w:pPr>
        <w:rPr>
          <w:lang w:val="de-DE"/>
        </w:rPr>
      </w:pPr>
      <w:r>
        <w:rPr>
          <w:lang w:val="de-DE"/>
        </w:rPr>
        <w:t>An M.L. Tolstoi, 16.-19. Oktober 1895 (nicht abgeschickt), Michail Lwowitsch Graf Tolstoi (1879-1944), Mischa, siebenter Sohn Tolstois</w:t>
      </w:r>
    </w:p>
    <w:p w:rsidR="00D71365" w:rsidRDefault="00D71365">
      <w:pPr>
        <w:rPr>
          <w:lang w:val="de-DE"/>
        </w:rPr>
      </w:pPr>
    </w:p>
    <w:p w:rsidR="00D71365" w:rsidRDefault="00D71365" w:rsidP="00D71365">
      <w:pPr>
        <w:rPr>
          <w:lang w:val="de-DE"/>
        </w:rPr>
      </w:pPr>
      <w:r>
        <w:rPr>
          <w:lang w:val="de-DE"/>
        </w:rPr>
        <w:t xml:space="preserve">„Der verbreitetste Fehler, den auch Sie begehen, besteht in dem Glauben, hätte man einmal den Weg zu einem Ideal erkannt, könnte man es erreichen. Wäre ein Ideal erreichbar, [546] wäre es kein Ideal, und würden die Menschen es erreichen, wäre das Leben zu Ende. Ideale sind immer unerreichbar, doch hieraus folgt nicht, man müsse sein Ideal fahrenlassen und ihm nicht </w:t>
      </w:r>
      <w:r>
        <w:rPr>
          <w:lang w:val="de-DE"/>
        </w:rPr>
        <w:lastRenderedPageBreak/>
        <w:t>nacheifern, vielmehr folgt daraus nur, daß man alle seine Kräfte darauf verwenden muß, ihm immer näher zu kommen. In dieser Annäherung besteht das Leben und sein Glück.“ (545-546)</w:t>
      </w:r>
    </w:p>
    <w:p w:rsidR="00D71365" w:rsidRDefault="00D71365" w:rsidP="00D71365">
      <w:pPr>
        <w:rPr>
          <w:lang w:val="de-DE"/>
        </w:rPr>
      </w:pPr>
      <w:r>
        <w:rPr>
          <w:lang w:val="de-DE"/>
        </w:rPr>
        <w:t>An M.N. Jakowlewa, 29. August 1910, Maria Nikolajewna Jakowlewa, Kinderschriftstellerin und Übersetzerin</w:t>
      </w:r>
    </w:p>
    <w:p w:rsidR="00D71365" w:rsidRDefault="00D71365" w:rsidP="00D71365">
      <w:pPr>
        <w:pBdr>
          <w:bottom w:val="single" w:sz="6" w:space="1" w:color="auto"/>
        </w:pBdr>
        <w:rPr>
          <w:lang w:val="de-DE"/>
        </w:rPr>
      </w:pPr>
    </w:p>
    <w:p w:rsidR="00817CF3" w:rsidRDefault="00817CF3" w:rsidP="00D71365">
      <w:pPr>
        <w:rPr>
          <w:lang w:val="de-DE"/>
        </w:rPr>
      </w:pPr>
    </w:p>
    <w:p w:rsidR="00D71365" w:rsidRPr="00233083" w:rsidRDefault="00817CF3" w:rsidP="00D71365">
      <w:pPr>
        <w:rPr>
          <w:rFonts w:ascii="Times New Roman" w:eastAsia="Times New Roman" w:hAnsi="Times New Roman" w:cs="Times New Roman"/>
          <w:lang w:val="de-DE"/>
        </w:rPr>
      </w:pPr>
      <w:r>
        <w:rPr>
          <w:lang w:val="de-DE"/>
        </w:rPr>
        <w:t>Wie gesehen, steht Tolstoi in der Tradition des christlichen Sokratismus, von Sokrates über Bernhard von Clairvaux zu Tolstoi. Der Aufruf an die Menschen, welche Tolstoi seit seiner Bekehrung an die Menschheit tätigte, ist daher, das eine, das not tut: einzuhalten und sich zu bedenken. Das Wissen muss Rechenschaft über das eigene Leben, Tun und Lassen geben. Damit ist das Wissen wesentlich heilszentriert. Und im Sinne Sokrates (</w:t>
      </w:r>
      <w:r w:rsidR="00233083">
        <w:rPr>
          <w:lang w:val="de-DE"/>
        </w:rPr>
        <w:t>„</w:t>
      </w:r>
      <w:r w:rsidR="00233083" w:rsidRPr="00233083">
        <w:rPr>
          <w:rFonts w:ascii="Garamond" w:eastAsia="Times New Roman" w:hAnsi="Garamond" w:cs="Times New Roman"/>
          <w:lang w:val="de-DE"/>
        </w:rPr>
        <w:t>Leben ohne Selbsterforschung aber gar nicht verdient gelebt</w:t>
      </w:r>
      <w:r w:rsidR="00233083">
        <w:rPr>
          <w:rFonts w:ascii="Garamond" w:eastAsia="Times New Roman" w:hAnsi="Garamond" w:cs="Times New Roman"/>
          <w:lang w:val="de-DE"/>
        </w:rPr>
        <w:t xml:space="preserve"> zu werden“, Apologie des Sokrates, </w:t>
      </w:r>
      <w:r w:rsidR="00233083" w:rsidRPr="00233083">
        <w:rPr>
          <w:rFonts w:ascii="Arial" w:eastAsia="Times New Roman" w:hAnsi="Arial" w:cs="Arial"/>
          <w:color w:val="222222"/>
          <w:sz w:val="21"/>
          <w:szCs w:val="21"/>
          <w:shd w:val="clear" w:color="auto" w:fill="FFFFFF"/>
          <w:lang w:val="de-DE"/>
        </w:rPr>
        <w:t>38a5–6</w:t>
      </w:r>
      <w:r w:rsidR="00233083">
        <w:rPr>
          <w:rFonts w:ascii="Times New Roman" w:eastAsia="Times New Roman" w:hAnsi="Times New Roman" w:cs="Times New Roman"/>
          <w:lang w:val="de-DE"/>
        </w:rPr>
        <w:t xml:space="preserve">) </w:t>
      </w:r>
      <w:r>
        <w:rPr>
          <w:lang w:val="de-DE"/>
        </w:rPr>
        <w:t xml:space="preserve">schreibt Tolstoi in einem Brief an seinen ältesten Sohn Serjosha und seine älteste Tochter Tatjana, seinen letzten, den er noch unterschrieb: </w:t>
      </w:r>
      <w:r w:rsidR="00D71365">
        <w:rPr>
          <w:lang w:val="de-DE"/>
        </w:rPr>
        <w:t>„ein Leben aber ohne Erklärung seiner Bedeutung und seines Sinnes und ohne eine sich daraus ergebende unabänderliche Richtschnur ist ein erbärmliches Existieren. Denke hierüber einmal nach.“ (569)</w:t>
      </w:r>
      <w:r>
        <w:rPr>
          <w:rStyle w:val="FootnoteReference"/>
          <w:lang w:val="de-DE"/>
        </w:rPr>
        <w:footnoteReference w:id="14"/>
      </w:r>
    </w:p>
    <w:p w:rsidR="00D71365" w:rsidRDefault="00D71365">
      <w:pPr>
        <w:pBdr>
          <w:bottom w:val="single" w:sz="6" w:space="1" w:color="auto"/>
        </w:pBdr>
        <w:rPr>
          <w:lang w:val="de-DE"/>
        </w:rPr>
      </w:pPr>
    </w:p>
    <w:p w:rsidR="00817CF3" w:rsidRDefault="00817CF3">
      <w:pPr>
        <w:rPr>
          <w:lang w:val="de-DE"/>
        </w:rPr>
      </w:pPr>
    </w:p>
    <w:p w:rsidR="00817CF3" w:rsidRDefault="00817CF3">
      <w:pPr>
        <w:rPr>
          <w:lang w:val="de-DE"/>
        </w:rPr>
      </w:pPr>
    </w:p>
    <w:p w:rsidR="00233083" w:rsidRDefault="00233083">
      <w:pPr>
        <w:rPr>
          <w:lang w:val="de-DE"/>
        </w:rPr>
      </w:pPr>
    </w:p>
    <w:p w:rsidR="00233083" w:rsidRDefault="00233083">
      <w:pPr>
        <w:rPr>
          <w:lang w:val="de-DE"/>
        </w:rPr>
      </w:pPr>
    </w:p>
    <w:p w:rsidR="00817CF3" w:rsidRDefault="00817CF3" w:rsidP="00817CF3">
      <w:pPr>
        <w:rPr>
          <w:lang w:val="de-DE"/>
        </w:rPr>
      </w:pPr>
    </w:p>
    <w:p w:rsidR="00817CF3" w:rsidRPr="00ED2CCB" w:rsidRDefault="00817CF3" w:rsidP="00817CF3">
      <w:pPr>
        <w:rPr>
          <w:lang w:val="de-DE"/>
        </w:rPr>
      </w:pPr>
    </w:p>
    <w:p w:rsidR="00BE6AFF" w:rsidRPr="00BE6AFF" w:rsidRDefault="00BE6AFF">
      <w:pPr>
        <w:rPr>
          <w:lang w:val="de-DE"/>
        </w:rPr>
      </w:pPr>
    </w:p>
    <w:p w:rsidR="00D71365" w:rsidRPr="00FF308A" w:rsidRDefault="00D71365">
      <w:pPr>
        <w:rPr>
          <w:lang w:val="de-DE"/>
        </w:rPr>
      </w:pPr>
    </w:p>
    <w:p w:rsidR="00A47D3D" w:rsidRPr="00FF308A" w:rsidRDefault="00A47D3D">
      <w:pPr>
        <w:rPr>
          <w:lang w:val="de-DE"/>
        </w:rPr>
      </w:pPr>
      <w:r w:rsidRPr="00FF308A">
        <w:rPr>
          <w:lang w:val="de-DE"/>
        </w:rPr>
        <w:t xml:space="preserve">Kritik an Comte </w:t>
      </w:r>
    </w:p>
    <w:p w:rsidR="00A47D3D" w:rsidRPr="00FF308A" w:rsidRDefault="00A47D3D">
      <w:pPr>
        <w:rPr>
          <w:lang w:val="de-DE"/>
        </w:rPr>
      </w:pPr>
    </w:p>
    <w:p w:rsidR="00AB7B08" w:rsidRDefault="00AB7B08" w:rsidP="00AB7B08">
      <w:pPr>
        <w:rPr>
          <w:lang w:val="de-DE"/>
        </w:rPr>
      </w:pPr>
      <w:r>
        <w:rPr>
          <w:lang w:val="de-DE"/>
        </w:rPr>
        <w:t xml:space="preserve">„Im religiösen Wissen geht es vielmehr um unser je eigenes </w:t>
      </w:r>
      <w:r w:rsidRPr="00563A45">
        <w:rPr>
          <w:i/>
          <w:lang w:val="de-DE"/>
        </w:rPr>
        <w:t>Heil</w:t>
      </w:r>
      <w:r>
        <w:rPr>
          <w:lang w:val="de-DE"/>
        </w:rPr>
        <w:t xml:space="preserve">, im metaphysischen Wissen um </w:t>
      </w:r>
      <w:r w:rsidRPr="00563A45">
        <w:rPr>
          <w:i/>
          <w:lang w:val="de-DE"/>
        </w:rPr>
        <w:t>Wesen und Sinn</w:t>
      </w:r>
      <w:r>
        <w:rPr>
          <w:lang w:val="de-DE"/>
        </w:rPr>
        <w:t xml:space="preserve"> der Welt und unsere Existenz in ihr. Diese Fragen kann aber die positive Wissenschaft, die ausschließlich auf </w:t>
      </w:r>
      <w:r w:rsidRPr="00563A45">
        <w:rPr>
          <w:i/>
          <w:lang w:val="de-DE"/>
        </w:rPr>
        <w:t>Herrschaft</w:t>
      </w:r>
      <w:r>
        <w:rPr>
          <w:lang w:val="de-DE"/>
        </w:rPr>
        <w:t xml:space="preserve"> aus ist und deshalb die kausalen Zusammenhänge erforscht, nicht beantworten.“ (Iring Fetscher: Einleitung, XV-XLIV. XXXIV)</w:t>
      </w:r>
    </w:p>
    <w:p w:rsidR="00A47D3D" w:rsidRDefault="00A47D3D">
      <w:pPr>
        <w:rPr>
          <w:lang w:val="de-DE"/>
        </w:rPr>
      </w:pPr>
    </w:p>
    <w:p w:rsidR="00AB7B08" w:rsidRDefault="00AB7B08">
      <w:pPr>
        <w:rPr>
          <w:lang w:val="de-DE"/>
        </w:rPr>
      </w:pPr>
    </w:p>
    <w:p w:rsidR="00AB7B08" w:rsidRPr="00FF308A" w:rsidRDefault="00AB7B08">
      <w:pPr>
        <w:rPr>
          <w:lang w:val="de-DE"/>
        </w:rPr>
      </w:pPr>
    </w:p>
    <w:p w:rsidR="00A47D3D" w:rsidRPr="00FF308A" w:rsidRDefault="00A47D3D">
      <w:pPr>
        <w:rPr>
          <w:lang w:val="de-DE"/>
        </w:rPr>
      </w:pPr>
    </w:p>
    <w:p w:rsidR="00A47D3D" w:rsidRPr="00FF308A" w:rsidRDefault="00A47D3D">
      <w:pPr>
        <w:rPr>
          <w:lang w:val="de-DE"/>
        </w:rPr>
      </w:pPr>
    </w:p>
    <w:p w:rsidR="00A47D3D" w:rsidRPr="00FF308A" w:rsidRDefault="00A47D3D">
      <w:pPr>
        <w:rPr>
          <w:lang w:val="de-DE"/>
        </w:rPr>
      </w:pPr>
    </w:p>
    <w:p w:rsidR="00A47D3D" w:rsidRPr="0025485A" w:rsidRDefault="00A47D3D" w:rsidP="00A47D3D">
      <w:pPr>
        <w:rPr>
          <w:b/>
          <w:lang w:val="de-DE"/>
        </w:rPr>
      </w:pPr>
      <w:r w:rsidRPr="0025485A">
        <w:rPr>
          <w:b/>
          <w:lang w:val="de-DE"/>
        </w:rPr>
        <w:lastRenderedPageBreak/>
        <w:t>Max Scheler: Über die positivistische Geschichtsphilosophie des Wissens (Dreistadiengesetz). In: Moralia, 9-114, in: Schriften zur Soziologie und Weltanschauungslehre. Gesammelte Werke Band 6. Bern und München: Francke, 1963, 27-35.</w:t>
      </w:r>
    </w:p>
    <w:p w:rsidR="00A47D3D" w:rsidRDefault="00A47D3D" w:rsidP="00A47D3D">
      <w:pPr>
        <w:rPr>
          <w:lang w:val="de-DE"/>
        </w:rPr>
      </w:pPr>
    </w:p>
    <w:p w:rsidR="00A47D3D" w:rsidRDefault="00A47D3D" w:rsidP="00A47D3D">
      <w:pPr>
        <w:rPr>
          <w:rFonts w:ascii="Calibri" w:hAnsi="Calibri" w:cs="Calibri"/>
          <w:lang w:val="de-DE"/>
        </w:rPr>
      </w:pPr>
      <w:r>
        <w:rPr>
          <w:lang w:val="de-DE"/>
        </w:rPr>
        <w:t xml:space="preserve">„Comtes berühmte Einteilung der Wissenschaften steht in engem Sachzusammenhang mit seinem </w:t>
      </w:r>
      <w:r w:rsidRPr="00B97819">
        <w:rPr>
          <w:i/>
          <w:lang w:val="de-DE"/>
        </w:rPr>
        <w:t>Gesetz der drei Stadien</w:t>
      </w:r>
      <w:r>
        <w:rPr>
          <w:lang w:val="de-DE"/>
        </w:rPr>
        <w:t xml:space="preserve">, durch die sich jeder Teil des Wissens hindurchentwickeln soll, indem eine Wissenschaft um so früher vom theologischen zum metaphysischen Stadium, vom metaphysischen zum positiven gelangen soll, je einfacher und abstrakter (in der Ordnung der Tafel) ihre Gegenstände sind. Das positivistische </w:t>
      </w:r>
      <w:r w:rsidRPr="00B97819">
        <w:rPr>
          <w:i/>
          <w:lang w:val="de-DE"/>
        </w:rPr>
        <w:t>Ideal</w:t>
      </w:r>
      <w:r>
        <w:rPr>
          <w:lang w:val="de-DE"/>
        </w:rPr>
        <w:t xml:space="preserve"> des Wissens aber, an dem diese Entwicklungslinie schließlich gemessen wird (und das der Ausgangspunkt ihrer Konstruktion ist), besteht in der ungeheuren </w:t>
      </w:r>
      <w:r w:rsidRPr="00B97819">
        <w:rPr>
          <w:i/>
          <w:lang w:val="de-DE"/>
        </w:rPr>
        <w:t>Beschränkung</w:t>
      </w:r>
      <w:r>
        <w:rPr>
          <w:lang w:val="de-DE"/>
        </w:rPr>
        <w:t xml:space="preserve"> des Erkenntniszieles: 1. auf das ‚voir pour pr</w:t>
      </w:r>
      <w:r>
        <w:rPr>
          <w:rFonts w:ascii="Calibri" w:hAnsi="Calibri" w:cs="Calibri"/>
          <w:lang w:val="de-DE"/>
        </w:rPr>
        <w:t xml:space="preserve">évoir‘ oder Aufnahme nur derjenigen Weltinhalte und -beziehungen in das erkennende Bewußtsein, durch die man Zukünftiges vorhersehend </w:t>
      </w:r>
      <w:r w:rsidRPr="00B97819">
        <w:rPr>
          <w:rFonts w:ascii="Calibri" w:hAnsi="Calibri" w:cs="Calibri"/>
          <w:i/>
          <w:lang w:val="de-DE"/>
        </w:rPr>
        <w:t>lenken</w:t>
      </w:r>
      <w:r>
        <w:rPr>
          <w:rFonts w:ascii="Calibri" w:hAnsi="Calibri" w:cs="Calibri"/>
          <w:lang w:val="de-DE"/>
        </w:rPr>
        <w:t xml:space="preserve"> kann; 2. auf die Auffindung bloßer Gesetze (quantitativ bestimmbarer Relationen) der sensuellen Erscheinungen mit Absehung von allen Fragen nach dem ‚Wesen‘ der Dinge, ferner nach der ‚Substanz‘ und ‚Kräften‘.“ (29)</w:t>
      </w:r>
    </w:p>
    <w:p w:rsidR="00A47D3D" w:rsidRDefault="00A47D3D" w:rsidP="00A47D3D">
      <w:pPr>
        <w:rPr>
          <w:rFonts w:ascii="Cambria Math" w:hAnsi="Cambria Math" w:cs="Cambria Math"/>
          <w:lang w:val="de-DE"/>
        </w:rPr>
      </w:pPr>
      <w:r>
        <w:rPr>
          <w:lang w:val="de-DE"/>
        </w:rPr>
        <w:t xml:space="preserve">„Die positivistische Lehre von den drei Stadien des Wissens ist in jeder Form, sowohl in derjenigen, die Comte, Mill, Spencer, als auch in der, die Mach und Avenarius ihr gegeben haben, von Grund aus irrig. Das religiös-theologische Erkennen und Denken, das metaphysische Erkennen und Denken und das positive Erkennen und Denken sind nicht historische Phasen der Wissensentwicklung, sondern </w:t>
      </w:r>
      <w:r w:rsidRPr="00B97819">
        <w:rPr>
          <w:i/>
          <w:lang w:val="de-DE"/>
        </w:rPr>
        <w:t>essentielle</w:t>
      </w:r>
      <w:r>
        <w:rPr>
          <w:lang w:val="de-DE"/>
        </w:rPr>
        <w:t>, dauernde, mit dem Wesen des menschlichen Geistes selbst gegebene Geisteshaltungen und ‚Erkenntnisformen‘. Keine kann die andere je ‚ersetzen‘ oder ‚vertreten‘. Die Aufgabe des Verstehens der Welt aus personalen Ursachen, die Aufgabe, die Wesens- und ewigen Ideenzusammenhänge, die im zufällig Wirklichen realisiert sind, für die schauende Vernunft einsichtig zu machen</w:t>
      </w:r>
      <w:r w:rsidRPr="00E13768">
        <w:rPr>
          <w:lang w:val="de-DE"/>
        </w:rPr>
        <w:t xml:space="preserve"> </w:t>
      </w:r>
      <w:r w:rsidRPr="00E13768">
        <w:rPr>
          <w:rFonts w:ascii="Cambria Math" w:hAnsi="Cambria Math" w:cs="Cambria Math"/>
          <w:lang w:val="de-DE"/>
        </w:rPr>
        <w:t>〈</w:t>
      </w:r>
      <w:r w:rsidRPr="00E13768">
        <w:rPr>
          <w:lang w:val="de-DE"/>
        </w:rPr>
        <w:t xml:space="preserve">und darauf </w:t>
      </w:r>
      <w:r>
        <w:rPr>
          <w:lang w:val="de-DE"/>
        </w:rPr>
        <w:t>eine Metaphysik zu gründen</w:t>
      </w:r>
      <w:r w:rsidRPr="00E13768">
        <w:rPr>
          <w:rFonts w:ascii="Cambria Math" w:hAnsi="Cambria Math" w:cs="Cambria Math"/>
          <w:lang w:val="de-DE"/>
        </w:rPr>
        <w:t>〉</w:t>
      </w:r>
      <w:r>
        <w:rPr>
          <w:rFonts w:ascii="Cambria Math" w:hAnsi="Cambria Math" w:cs="Cambria Math"/>
          <w:lang w:val="de-DE"/>
        </w:rPr>
        <w:t xml:space="preserve">, und die Aufgabe, die Erscheinungen in einer mathematischen Symbolik eindeutig zu ordnen, zu klassifizieren und nach allen Arten ihrer Abhängigkeiten voneinander eindeutig zu bestimmen, sind Aufgaben </w:t>
      </w:r>
      <w:r w:rsidRPr="00E13768">
        <w:rPr>
          <w:rFonts w:ascii="Cambria Math" w:hAnsi="Cambria Math" w:cs="Cambria Math"/>
          <w:i/>
          <w:lang w:val="de-DE"/>
        </w:rPr>
        <w:t>gleich</w:t>
      </w:r>
      <w:r>
        <w:rPr>
          <w:rFonts w:ascii="Cambria Math" w:hAnsi="Cambria Math" w:cs="Cambria Math"/>
          <w:lang w:val="de-DE"/>
        </w:rPr>
        <w:t xml:space="preserve"> ursprünglichen Rechtes und haben sich auch gleich ursprünglich aus dem mythischen Denken voneinander ausdifferenziert.“ (30) </w:t>
      </w:r>
    </w:p>
    <w:p w:rsidR="00A47D3D" w:rsidRDefault="00A47D3D" w:rsidP="00A47D3D">
      <w:pPr>
        <w:rPr>
          <w:lang w:val="de-DE"/>
        </w:rPr>
      </w:pPr>
      <w:r>
        <w:rPr>
          <w:lang w:val="de-DE"/>
        </w:rPr>
        <w:t xml:space="preserve">„Es sind drei völlig verschiedene Motive, drei völlig verschiedene Gruppen von Akten des erkennenden Geistes, drei verschiedene Ziele, drei verschiedene Persönlichkeitstypen und drei verschiedene soziale Gruppen, auf denen Religion, Metaphysik und positive Wissenschaften beruhen. Auch die historischen Bewegungsformen der drei geistigen Mächte sind wesensverschieden.“ (31) </w:t>
      </w:r>
    </w:p>
    <w:p w:rsidR="00A47D3D" w:rsidRDefault="00A47D3D" w:rsidP="00A47D3D">
      <w:pPr>
        <w:rPr>
          <w:lang w:val="de-DE"/>
        </w:rPr>
      </w:pPr>
      <w:r>
        <w:rPr>
          <w:lang w:val="de-DE"/>
        </w:rPr>
        <w:t xml:space="preserve">„Dem </w:t>
      </w:r>
      <w:r w:rsidRPr="00E13768">
        <w:rPr>
          <w:i/>
          <w:lang w:val="de-DE"/>
        </w:rPr>
        <w:t>Motiv</w:t>
      </w:r>
      <w:r>
        <w:rPr>
          <w:lang w:val="de-DE"/>
        </w:rPr>
        <w:t xml:space="preserve"> nach beruht die Religion auf dem unwiderstehlichen Drang der Persönlichkeit nach geistiger Selbstbehauptung durch </w:t>
      </w:r>
      <w:r w:rsidRPr="00E13768">
        <w:rPr>
          <w:i/>
          <w:lang w:val="de-DE"/>
        </w:rPr>
        <w:t>Bergung</w:t>
      </w:r>
      <w:r>
        <w:rPr>
          <w:lang w:val="de-DE"/>
        </w:rPr>
        <w:t xml:space="preserve">, Rettung des Personenkerns in eine selbst personhafte, heilige, weltlenkende Macht. Die Metaphysik beruht auf immer neuer </w:t>
      </w:r>
      <w:r w:rsidRPr="00E13768">
        <w:rPr>
          <w:i/>
          <w:lang w:val="de-DE"/>
        </w:rPr>
        <w:t>Verwunderung</w:t>
      </w:r>
      <w:r>
        <w:rPr>
          <w:lang w:val="de-DE"/>
        </w:rPr>
        <w:t xml:space="preserve">, daß überhaupt etwas sei und nicht lieber nichts sei. Die positive Wissenschaft beruht auf dem Bedürfnis, Natur, Gesellschaft und Seele zu </w:t>
      </w:r>
      <w:r w:rsidRPr="00E13768">
        <w:rPr>
          <w:i/>
          <w:lang w:val="de-DE"/>
        </w:rPr>
        <w:t>lenken</w:t>
      </w:r>
      <w:r>
        <w:rPr>
          <w:lang w:val="de-DE"/>
        </w:rPr>
        <w:t xml:space="preserve"> nach Zielen und Zwecken, die sich als ‚beliebige‘ von den je besonderen Zwecken abgehoben haben, in die der beruflich arbeitende Mensch verflochten ist.“ (31) </w:t>
      </w:r>
    </w:p>
    <w:p w:rsidR="00A47D3D" w:rsidRPr="00E13768" w:rsidRDefault="00A47D3D" w:rsidP="00A47D3D">
      <w:pPr>
        <w:rPr>
          <w:lang w:val="de-DE"/>
        </w:rPr>
      </w:pPr>
      <w:r>
        <w:rPr>
          <w:lang w:val="de-DE"/>
        </w:rPr>
        <w:t>„</w:t>
      </w:r>
      <w:r w:rsidRPr="0025485A">
        <w:rPr>
          <w:i/>
          <w:lang w:val="de-DE"/>
        </w:rPr>
        <w:t>Ziel</w:t>
      </w:r>
      <w:r>
        <w:rPr>
          <w:lang w:val="de-DE"/>
        </w:rPr>
        <w:t xml:space="preserve"> aller Religion ist das Heil der Person und Gruppe, Ziel der Metaphysik ist höchste Personbildung durch Weisheit. Ziel der positiven Wissenschaft ist ein Weltbild in mathematischen Symbolen, das mit bewußter Vernachlässigung alles ‚Wesenhaften‘ an der </w:t>
      </w:r>
      <w:r>
        <w:rPr>
          <w:lang w:val="de-DE"/>
        </w:rPr>
        <w:lastRenderedPageBreak/>
        <w:t xml:space="preserve">Welt </w:t>
      </w:r>
      <w:r w:rsidRPr="0025485A">
        <w:rPr>
          <w:i/>
          <w:lang w:val="de-DE"/>
        </w:rPr>
        <w:t>nur</w:t>
      </w:r>
      <w:r>
        <w:rPr>
          <w:lang w:val="de-DE"/>
        </w:rPr>
        <w:t xml:space="preserve"> die </w:t>
      </w:r>
      <w:r w:rsidRPr="0025485A">
        <w:rPr>
          <w:i/>
          <w:lang w:val="de-DE"/>
        </w:rPr>
        <w:t>Beziehungen</w:t>
      </w:r>
      <w:r>
        <w:rPr>
          <w:lang w:val="de-DE"/>
        </w:rPr>
        <w:t xml:space="preserve"> der Erscheinungen in sich aufnimmt, um nach ihnen die Natur zu lenken und zu beherrschen.“ (31) </w:t>
      </w:r>
    </w:p>
    <w:p w:rsidR="00A47D3D" w:rsidRPr="00FF308A" w:rsidRDefault="00A47D3D">
      <w:pPr>
        <w:rPr>
          <w:lang w:val="de-DE"/>
        </w:rPr>
      </w:pPr>
    </w:p>
    <w:p w:rsidR="00A47D3D" w:rsidRDefault="00A47D3D">
      <w:pPr>
        <w:rPr>
          <w:lang w:val="de-DE"/>
        </w:rPr>
      </w:pPr>
    </w:p>
    <w:p w:rsidR="00A47D3D" w:rsidRPr="00A47D3D" w:rsidRDefault="00A47D3D" w:rsidP="00A47D3D">
      <w:pPr>
        <w:rPr>
          <w:b/>
          <w:bCs/>
          <w:lang w:val="de-DE"/>
        </w:rPr>
      </w:pPr>
      <w:r w:rsidRPr="00A47D3D">
        <w:rPr>
          <w:b/>
          <w:bCs/>
          <w:lang w:val="de-DE"/>
        </w:rPr>
        <w:t>Eric Voegelin: Die Krise. Zur Pathologie des modernen Geistes. Herausgegeben von Peter J. Opitz. München: Fink, 2008.</w:t>
      </w:r>
    </w:p>
    <w:p w:rsidR="00A47D3D" w:rsidRPr="00A47D3D" w:rsidRDefault="00A47D3D" w:rsidP="00A47D3D">
      <w:pPr>
        <w:rPr>
          <w:lang w:val="de-DE"/>
        </w:rPr>
      </w:pPr>
    </w:p>
    <w:p w:rsidR="00A47D3D" w:rsidRPr="00A47D3D" w:rsidRDefault="00A47D3D" w:rsidP="00A47D3D">
      <w:pPr>
        <w:rPr>
          <w:lang w:val="de-DE"/>
        </w:rPr>
      </w:pPr>
      <w:r w:rsidRPr="00A47D3D">
        <w:rPr>
          <w:lang w:val="de-DE"/>
        </w:rPr>
        <w:t>Positivismus: 115-194</w:t>
      </w:r>
    </w:p>
    <w:p w:rsidR="00A47D3D" w:rsidRPr="00A47D3D" w:rsidRDefault="00A47D3D" w:rsidP="00A47D3D">
      <w:pPr>
        <w:rPr>
          <w:lang w:val="de-DE"/>
        </w:rPr>
      </w:pPr>
      <w:r w:rsidRPr="00A47D3D">
        <w:rPr>
          <w:lang w:val="de-DE"/>
        </w:rPr>
        <w:t>Die Apokalypse des Menschen: Comte: 195-289</w:t>
      </w:r>
    </w:p>
    <w:p w:rsidR="00A47D3D" w:rsidRPr="00A47D3D" w:rsidRDefault="00A47D3D" w:rsidP="00A47D3D">
      <w:pPr>
        <w:rPr>
          <w:lang w:val="de-DE"/>
        </w:rPr>
      </w:pPr>
      <w:r w:rsidRPr="00A47D3D">
        <w:rPr>
          <w:lang w:val="de-DE"/>
        </w:rPr>
        <w:t xml:space="preserve">D’Alembert: „Das Verschwinden des </w:t>
      </w:r>
      <w:r w:rsidRPr="00A47D3D">
        <w:rPr>
          <w:i/>
          <w:iCs/>
          <w:lang w:val="de-DE"/>
        </w:rPr>
        <w:t>bios theoretikos</w:t>
      </w:r>
      <w:r w:rsidRPr="00A47D3D">
        <w:rPr>
          <w:lang w:val="de-DE"/>
        </w:rPr>
        <w:t>“, 120-121</w:t>
      </w:r>
    </w:p>
    <w:p w:rsidR="00A47D3D" w:rsidRPr="00A47D3D" w:rsidRDefault="00A47D3D" w:rsidP="00A47D3D">
      <w:pPr>
        <w:rPr>
          <w:lang w:val="de-DE"/>
        </w:rPr>
      </w:pPr>
      <w:r w:rsidRPr="00A47D3D">
        <w:rPr>
          <w:lang w:val="de-DE"/>
        </w:rPr>
        <w:t xml:space="preserve">„D’Alembert hat recht offensichtlich nie erfahren, dass es ein Problem in der menschlichen Existenz gibt, das Aristoteles als den Wunsch nach, und als die Verpflichtung des </w:t>
      </w:r>
      <w:r w:rsidRPr="00A47D3D">
        <w:rPr>
          <w:i/>
          <w:iCs/>
          <w:lang w:val="de-DE"/>
        </w:rPr>
        <w:t>bios theoretikos</w:t>
      </w:r>
      <w:r w:rsidRPr="00A47D3D">
        <w:rPr>
          <w:lang w:val="de-DE"/>
        </w:rPr>
        <w:t xml:space="preserve"> formulierte: Dass sich die Bedeutung des menschlichen Lebens nämlich nicht auf der Ebene utilitaristischer Werte erschöpft (in der aristotelischen Ordnung: der Werte, die unterhalb der Ebene der Polis verwirklicht werden), </w:t>
      </w:r>
      <w:r w:rsidRPr="00FB782B">
        <w:rPr>
          <w:highlight w:val="yellow"/>
          <w:lang w:val="de-DE"/>
        </w:rPr>
        <w:t>sondern dass das Leben der Kontemplation, das zum Verständnis des Menschen selbst und seines Ortes im Universum führt, eine grundlegende geistige Verpflichtung ist, unabhängig von so nützlichen Tätigkeiten wie Autofahren oder Salatmischen.</w:t>
      </w:r>
      <w:r w:rsidRPr="00A47D3D">
        <w:rPr>
          <w:lang w:val="de-DE"/>
        </w:rPr>
        <w:t xml:space="preserve"> Das Leben der Kontemplation, das sich in die theoretischen Wissenschaften des Menschen und der Außenwelt hinein ausbreitet, bringt dasjenige Wissen hervor, das man humanistisch nennen könnte, und zwar in dem spezifischen Sinn, dass es das Material für das Verständnis des menschlichen Ortes in seiner Welt liefert. Als solches mag es sich mit pragmatischem und religiösem Wissen überschneiden, muss aber davon unterschieden werden.“ (120) </w:t>
      </w:r>
    </w:p>
    <w:p w:rsidR="00A47D3D" w:rsidRPr="00A47D3D" w:rsidRDefault="00A47D3D" w:rsidP="00A47D3D">
      <w:pPr>
        <w:rPr>
          <w:lang w:val="de-DE"/>
        </w:rPr>
      </w:pPr>
      <w:r w:rsidRPr="00A47D3D">
        <w:rPr>
          <w:lang w:val="de-DE"/>
        </w:rPr>
        <w:t xml:space="preserve">„Insofern die Wurzel und die Verpflichtung des </w:t>
      </w:r>
      <w:r w:rsidRPr="00A47D3D">
        <w:rPr>
          <w:i/>
          <w:iCs/>
          <w:lang w:val="de-DE"/>
        </w:rPr>
        <w:t>bios theoretikos</w:t>
      </w:r>
      <w:r w:rsidRPr="00A47D3D">
        <w:rPr>
          <w:lang w:val="de-DE"/>
        </w:rPr>
        <w:t xml:space="preserve">, und damit die Bedeutung der humanistischen Zivilisation, von der pragmatischen Ebene utilitaristischer Werte aus unverständlich sind, rühren wir in dieser Bemerkung d’Alemberts an den Ursprung des tiefen Antihumanismus der Aufklärung und des positivistischen Credos.“ (121) </w:t>
      </w:r>
    </w:p>
    <w:p w:rsidR="00A47D3D" w:rsidRPr="00A47D3D" w:rsidRDefault="00A47D3D" w:rsidP="00A47D3D">
      <w:pPr>
        <w:rPr>
          <w:lang w:val="de-DE"/>
        </w:rPr>
      </w:pPr>
      <w:r w:rsidRPr="00A47D3D">
        <w:rPr>
          <w:lang w:val="de-DE"/>
        </w:rPr>
        <w:t xml:space="preserve">„Im Fall d’Alemberts beispielsweise haben wir gesehen, dass der Mensch des </w:t>
      </w:r>
      <w:r w:rsidRPr="00A47D3D">
        <w:rPr>
          <w:i/>
          <w:iCs/>
          <w:lang w:val="de-DE"/>
        </w:rPr>
        <w:t>bios theoretikos</w:t>
      </w:r>
      <w:r w:rsidRPr="00A47D3D">
        <w:rPr>
          <w:lang w:val="de-DE"/>
        </w:rPr>
        <w:t xml:space="preserve"> beraubt und in seinem Wesen auf die utilitaristische Ebene eines </w:t>
      </w:r>
      <w:r w:rsidRPr="00A47D3D">
        <w:rPr>
          <w:i/>
          <w:iCs/>
          <w:lang w:val="de-DE"/>
        </w:rPr>
        <w:t>homo faber</w:t>
      </w:r>
      <w:r w:rsidRPr="00A47D3D">
        <w:rPr>
          <w:lang w:val="de-DE"/>
        </w:rPr>
        <w:t xml:space="preserve"> reduziert wurde. […] Diese Reduzierung des Menschen und seines Lebens auf die Ebene utilitaristischer Existenz ist das Symptom des kritischen Punktes des Zusammenbruches der westlichen Zivilisation durch die Atrophie der intellektuellen und spirituellen Substanz des Menschen. In der progressivistischen, positivistischen Bewegung seit Mitte des 18. Jahrhunderts wie auch bei den Anhängern dieser Bewegung bezeichnet der Begriff </w:t>
      </w:r>
      <w:r w:rsidRPr="00A47D3D">
        <w:rPr>
          <w:i/>
          <w:iCs/>
          <w:lang w:val="de-DE"/>
        </w:rPr>
        <w:t>Mensch</w:t>
      </w:r>
      <w:r w:rsidRPr="00A47D3D">
        <w:rPr>
          <w:lang w:val="de-DE"/>
        </w:rPr>
        <w:t xml:space="preserve"> nicht mehr den reifen Menschen der humanistischen und christlichen Tradition, sondern nur noch das verkrüppelte, utilitaristische Fragment.“ (143)</w:t>
      </w:r>
    </w:p>
    <w:p w:rsidR="00A47D3D" w:rsidRPr="00A47D3D" w:rsidRDefault="00A47D3D" w:rsidP="00A47D3D">
      <w:pPr>
        <w:rPr>
          <w:lang w:val="de-DE"/>
        </w:rPr>
      </w:pPr>
      <w:r w:rsidRPr="00A47D3D">
        <w:rPr>
          <w:lang w:val="de-DE"/>
        </w:rPr>
        <w:t>Comte:</w:t>
      </w:r>
    </w:p>
    <w:p w:rsidR="00A47D3D" w:rsidRPr="00A47D3D" w:rsidRDefault="00A47D3D" w:rsidP="00A47D3D">
      <w:pPr>
        <w:rPr>
          <w:lang w:val="de-DE"/>
        </w:rPr>
      </w:pPr>
      <w:r w:rsidRPr="00A47D3D">
        <w:rPr>
          <w:lang w:val="de-DE"/>
        </w:rPr>
        <w:t>„Diese Projektion der Entwicklung der Naturwissenschaften auf die Zukunft der philosophischen und historischen Wissenschaften ist das eigentliche Dogma des szientistischen Glaubensbekenntnisses, das bis heute große soziale Akzeptanz findet.“ (276)</w:t>
      </w:r>
    </w:p>
    <w:p w:rsidR="00A47D3D" w:rsidRPr="00A47D3D" w:rsidRDefault="00A47D3D" w:rsidP="00A47D3D">
      <w:pPr>
        <w:rPr>
          <w:lang w:val="de-DE"/>
        </w:rPr>
      </w:pPr>
      <w:r w:rsidRPr="00FB782B">
        <w:rPr>
          <w:highlight w:val="yellow"/>
          <w:lang w:val="de-DE"/>
        </w:rPr>
        <w:t>„[Das Dogma] beruht keineswegs auf einer ‚Beobachtung‘, es ist vielmehr Ausdruck der apokalyptischen Hoffnung, der Mensch könne die transzendente Dimension seiner Existenz abschütteln und sein Schicksal bezüglich der Mittel und Endzwecke nach selbstgemachten Regeln lenken.</w:t>
      </w:r>
      <w:r w:rsidRPr="00A47D3D">
        <w:rPr>
          <w:lang w:val="de-DE"/>
        </w:rPr>
        <w:t>“ (277)</w:t>
      </w:r>
    </w:p>
    <w:p w:rsidR="00A47D3D" w:rsidRPr="00C65453" w:rsidRDefault="00A47D3D" w:rsidP="00A47D3D">
      <w:pPr>
        <w:rPr>
          <w:lang w:val="de-DE"/>
        </w:rPr>
      </w:pPr>
      <w:r w:rsidRPr="00A47D3D">
        <w:rPr>
          <w:lang w:val="de-DE"/>
        </w:rPr>
        <w:lastRenderedPageBreak/>
        <w:t xml:space="preserve">„Und er hält für dieses Problem die gnostische Lösung bereit, dass der Sinn der Geschichte in der Evolution des menschlichen Geistes bestehe, die aus der Bewusstlosigkeit ins Bewusstsein des Selbstverständnisses führe.“ </w:t>
      </w:r>
      <w:r w:rsidRPr="00C65453">
        <w:rPr>
          <w:lang w:val="de-DE"/>
        </w:rPr>
        <w:t xml:space="preserve">(279) </w:t>
      </w:r>
    </w:p>
    <w:p w:rsidR="00A47D3D" w:rsidRPr="00A47D3D" w:rsidRDefault="00A47D3D" w:rsidP="00A47D3D">
      <w:pPr>
        <w:rPr>
          <w:lang w:val="de-DE"/>
        </w:rPr>
      </w:pPr>
      <w:r w:rsidRPr="00A47D3D">
        <w:rPr>
          <w:lang w:val="de-DE"/>
        </w:rPr>
        <w:t xml:space="preserve">„Religion ist für Comte Theologie, und Theologie ist für ihn eine fehlerhafte Interpretation von Tatsachen. Das heißt, dass der Bereich der geistigen Erfahrung, in dem der Mensch sich in einer Spannung zum Grund seiner Existenz befindet, einfach ignoriert wird. Metaphysik ist für Comte eine ebenso fehlerhafte Erklärung von Tatsachen, in der die erklärenden, erfundenen Tatsachen jedoch zu abstrakten Prinzipien geworden sind. Das heißt, dass die spekulative Interpretation der gesamten menschlichen Erfahrung durch eine systematische Weltsicht als autonome Funktion, kraft deren der Mensch sich in seiner Welt orientiert, ignoriert wird. Wissenschaft ist für Comte das Instrument für die Herrschaft des Menschen über die Natur und für die daraus folgende Verbesserung seines Wohlbefindens. In diesem Fall hat Comte zumindest die pragmatische Komponente der Wissenschaft richtig verstanden, die kontemplative Komponente übersieht er jedoch. Daher plant Comte immer wieder einen künftigen Zustand der organisierten Wissenschaft, in dem das Direktorium der Menschheit entscheidet, welche wissenschaftlichen Fragen untersucht werden sollten, weil sie nützliche Ergebnisse verheißen, und welche zu vernachlässigen seien, weil sie </w:t>
      </w:r>
      <w:r w:rsidRPr="00A47D3D">
        <w:rPr>
          <w:i/>
          <w:iCs/>
          <w:lang w:val="de-DE"/>
        </w:rPr>
        <w:t>oiseux</w:t>
      </w:r>
      <w:r w:rsidRPr="00A47D3D">
        <w:rPr>
          <w:lang w:val="de-DE"/>
        </w:rPr>
        <w:t xml:space="preserve"> [unnütz] sind.</w:t>
      </w:r>
    </w:p>
    <w:p w:rsidR="00A47D3D" w:rsidRPr="00A47D3D" w:rsidRDefault="00A47D3D" w:rsidP="00A47D3D">
      <w:pPr>
        <w:rPr>
          <w:lang w:val="de-DE"/>
        </w:rPr>
      </w:pPr>
      <w:r w:rsidRPr="00A47D3D">
        <w:rPr>
          <w:lang w:val="de-DE"/>
        </w:rPr>
        <w:t xml:space="preserve">Da Comte hinsichtlich der Bedeutung von Religion, Metaphysik und Wissenschaft völlig im Dunkeln tappt, ist er auch nicht imstande, sie als autonome Funktionen zu erkennen, die einander nicht ersetzen können. Metaphysik ist kein Ersatz für Religion, und Wissenschaft ist weder für Religion noch für Metaphysik ein Ersatz. Comte kann die drei Funktionen als eine Reihenfolge von Entwicklungsfortschritten einordnen, weil er Religion und Metaphysik als unvollkommene Wissenschaftstypen versteht; im Laufe der Geschichte werden die vollkommeneren Typen die weniger vollkommenen ersetzen.“ (287) </w:t>
      </w:r>
    </w:p>
    <w:p w:rsidR="00A47D3D" w:rsidRDefault="00A47D3D">
      <w:pPr>
        <w:rPr>
          <w:lang w:val="de-DE"/>
        </w:rPr>
      </w:pPr>
    </w:p>
    <w:p w:rsidR="00A47D3D" w:rsidRPr="0072326D" w:rsidRDefault="00A47D3D" w:rsidP="00A47D3D">
      <w:pPr>
        <w:rPr>
          <w:b/>
          <w:lang w:val="de-DE"/>
        </w:rPr>
      </w:pPr>
      <w:r w:rsidRPr="0072326D">
        <w:rPr>
          <w:b/>
          <w:lang w:val="de-DE"/>
        </w:rPr>
        <w:t xml:space="preserve">Eric Voegelin: Die Neue Wissenschaft der Politik. Eine Einführung. München: </w:t>
      </w:r>
      <w:r>
        <w:rPr>
          <w:b/>
          <w:lang w:val="de-DE"/>
        </w:rPr>
        <w:t>Anton Pustet</w:t>
      </w:r>
      <w:r w:rsidRPr="0072326D">
        <w:rPr>
          <w:b/>
          <w:lang w:val="de-DE"/>
        </w:rPr>
        <w:t xml:space="preserve">, </w:t>
      </w:r>
      <w:r>
        <w:rPr>
          <w:b/>
          <w:lang w:val="de-DE"/>
        </w:rPr>
        <w:t>1959</w:t>
      </w:r>
      <w:r w:rsidRPr="0072326D">
        <w:rPr>
          <w:b/>
          <w:lang w:val="de-DE"/>
        </w:rPr>
        <w:t>.</w:t>
      </w:r>
    </w:p>
    <w:p w:rsidR="00A47D3D" w:rsidRDefault="00A47D3D" w:rsidP="00A47D3D">
      <w:pPr>
        <w:rPr>
          <w:lang w:val="de-DE"/>
        </w:rPr>
      </w:pPr>
    </w:p>
    <w:p w:rsidR="00A47D3D" w:rsidRDefault="00A47D3D" w:rsidP="00A47D3D">
      <w:pPr>
        <w:rPr>
          <w:lang w:val="de-DE"/>
        </w:rPr>
      </w:pPr>
      <w:r>
        <w:rPr>
          <w:lang w:val="de-DE"/>
        </w:rPr>
        <w:t>„Die zerstörende Wirkung des Positivismus hat ihre Ursache in den folgenden zwei Grundannahmen:</w:t>
      </w:r>
    </w:p>
    <w:p w:rsidR="00A47D3D" w:rsidRDefault="00A47D3D" w:rsidP="00A47D3D">
      <w:pPr>
        <w:rPr>
          <w:lang w:val="de-DE"/>
        </w:rPr>
      </w:pPr>
      <w:r>
        <w:rPr>
          <w:lang w:val="de-DE"/>
        </w:rPr>
        <w:t>(1) Die glänzende Entfaltung der Naturwissenschaften war, neben anderen Faktoren, mitverantwortlich für die Annahme, [21] daß die Methoden der mathematisierten Wissenschaften von der Außenwelt durch besondere Leistungsfähigkeit ausgezeichnet seien, und daß die anderen Wissenschaften ähnliche Erfolge erzielen würden, wenn sie dem Beispiel folgten. Dieser Glaube für sich allein wäre eine harmlose Idiosynkrasie gewesen; er hätte sein natürliches Ende gefunden, sobald die enthusiastischen Bewunderer der Mustermethode versucht hätten, sie auf ihre eigene Wissenschaft anzuwenden, und wenn die erwarteten Erfolge ausgeblieben wären.</w:t>
      </w:r>
    </w:p>
    <w:p w:rsidR="00A47D3D" w:rsidRDefault="00A47D3D" w:rsidP="00A47D3D">
      <w:pPr>
        <w:rPr>
          <w:lang w:val="de-DE"/>
        </w:rPr>
      </w:pPr>
      <w:r>
        <w:rPr>
          <w:lang w:val="de-DE"/>
        </w:rPr>
        <w:t xml:space="preserve">(2) Der Glaube wurde jedoch gefährlich, weil er sich mit der zweiten Annahme verband, daß die naturwissenschaftliche Methoden ein Kriterium für theoretische Relevanz lieferten. Erst aus dieser Verbindung der beiden Annahmen ergab sich die bekannte Reihe der Behauptungen: </w:t>
      </w:r>
      <w:r w:rsidRPr="00FB782B">
        <w:rPr>
          <w:highlight w:val="yellow"/>
          <w:lang w:val="de-DE"/>
        </w:rPr>
        <w:t xml:space="preserve">daß eine Erforschung der Wirklichkeit nur dann wissenschaftlichen Charakter habe, wenn sie die Methoden der Naturwissenschaft anwendet; daß die Probleme, die in anderen als naturwissenschaftlichen Termini ausgedrückt werden müssen, Scheinprobleme seien; daß im </w:t>
      </w:r>
      <w:r w:rsidRPr="00FB782B">
        <w:rPr>
          <w:highlight w:val="yellow"/>
          <w:lang w:val="de-DE"/>
        </w:rPr>
        <w:lastRenderedPageBreak/>
        <w:t>besonderen metaphysische Fragen, auf die eine Antwort mit den Mitteln der Wissenschaften von Phänomenen der Außenwelt nicht möglich ist, nicht gestellt werden dürfen; daß Seinsbereiche, die der Erforschung mit naturwissenschaftlichen Methoden unzugänglich sind, irrelevant seien; und, in äußerster Konsequenz, daß Seinsbereiche dieser Art nicht existierten</w:t>
      </w:r>
      <w:r>
        <w:rPr>
          <w:lang w:val="de-DE"/>
        </w:rPr>
        <w:t xml:space="preserve">.“ (20-21) </w:t>
      </w:r>
    </w:p>
    <w:p w:rsidR="00A47D3D" w:rsidRPr="0060107B" w:rsidRDefault="00A47D3D" w:rsidP="00A47D3D">
      <w:pPr>
        <w:rPr>
          <w:lang w:val="de-DE"/>
        </w:rPr>
      </w:pPr>
      <w:r>
        <w:rPr>
          <w:lang w:val="de-DE"/>
        </w:rPr>
        <w:t xml:space="preserve">„zur leidenschaftslosen Schau der Seinsordnung in der theoretischen Haltung.“ (23) </w:t>
      </w:r>
    </w:p>
    <w:p w:rsidR="00A47D3D" w:rsidRDefault="00A47D3D" w:rsidP="00A47D3D">
      <w:pPr>
        <w:rPr>
          <w:lang w:val="de-DE"/>
        </w:rPr>
      </w:pPr>
      <w:r>
        <w:rPr>
          <w:lang w:val="de-DE"/>
        </w:rPr>
        <w:t>„Die Anhäufung theoretisch nicht ausgewerteter und vielleicht nicht auswertbarer Fakten, dieser Auswuchs, für den in Deutschland das Wort Materialhuberei geprägt wurde, ist also die erste der Erscheinungsformen des Positivismus und wegen ihrer Allgegenwart ist sie von viel größerer Bedeutung als gewisse reizvolle Kuriositäten wie z.B. die Einheitswissenschaft.“ (27)</w:t>
      </w:r>
    </w:p>
    <w:p w:rsidR="00A47D3D" w:rsidRDefault="00A47D3D" w:rsidP="00A47D3D">
      <w:pPr>
        <w:rPr>
          <w:lang w:val="de-DE"/>
        </w:rPr>
      </w:pPr>
      <w:r>
        <w:rPr>
          <w:lang w:val="de-DE"/>
        </w:rPr>
        <w:t>„In den Mittelpunkt des Dialoges [</w:t>
      </w:r>
      <w:r w:rsidRPr="00353055">
        <w:rPr>
          <w:i/>
          <w:lang w:val="de-DE"/>
        </w:rPr>
        <w:t>Politeia</w:t>
      </w:r>
      <w:r>
        <w:rPr>
          <w:lang w:val="de-DE"/>
        </w:rPr>
        <w:t xml:space="preserve">; F.E.] stellt Platon das Höhlengleichnis mit seiner Beschreibung der </w:t>
      </w:r>
      <w:r w:rsidRPr="00353055">
        <w:rPr>
          <w:i/>
          <w:lang w:val="de-DE"/>
        </w:rPr>
        <w:t>periagoge</w:t>
      </w:r>
      <w:r>
        <w:rPr>
          <w:lang w:val="de-DE"/>
        </w:rPr>
        <w:t xml:space="preserve">, der Umkehr, der Abwendung von der Unwahrheit der menschlichen Existenz, wie sie in der sophistischen Gesellschaft Athens herrschte, und der Hinwendung zur Wahrheit der Idee.“ (103) </w:t>
      </w:r>
    </w:p>
    <w:p w:rsidR="00A47D3D" w:rsidRDefault="00A47D3D" w:rsidP="00A47D3D">
      <w:pPr>
        <w:rPr>
          <w:lang w:val="de-DE"/>
        </w:rPr>
      </w:pPr>
      <w:r>
        <w:rPr>
          <w:lang w:val="de-DE"/>
        </w:rPr>
        <w:t xml:space="preserve">„Die Gültigkeit der von Platon und Aristoteles entwickelten Maßstäbe beruht auf der Vorstellung von einem Menschen, der das Maß der Gesellschaft sein kann, weil Gott das Maß seiner Seele ist.“ (104) </w:t>
      </w:r>
    </w:p>
    <w:p w:rsidR="00A47D3D" w:rsidRDefault="00A47D3D" w:rsidP="00A47D3D">
      <w:pPr>
        <w:rPr>
          <w:lang w:val="de-DE"/>
        </w:rPr>
      </w:pPr>
      <w:r>
        <w:rPr>
          <w:lang w:val="de-DE"/>
        </w:rPr>
        <w:t xml:space="preserve">„Die joachitische Spekulation war ein Versuch, dem immanenten Lauf der Geschichte einen Sinn zu verleihen, den sie in der augustinischen Konzeption nicht hatte. Zu diesem Zweck verwandte Joachim, was zur Hand war, und das war der Sinn der transzendenten Geschichte. In diesem ersten westlichen Versuch einer Immanentisierung des Sinnes der Geschichte ging der Zusammenhang mit dem Christentum nicht verloren. Das neue Zeitalter des Joachim brachte eine Steigerung der Erfüllung innerhalb der Geschichte, aber diese Steigerung wurde nicht durch einen weltimmanenten Ausbruch hervorgerufen, sondern durch einen transzendenten Einbruch des Geistes. Der Gedanke einer [169] radikal immanenten Erfüllung wuchs nur sehr allmählich in einem langwierigen Prozeß, den man kurz unter den Titel ‚vom Humanismus zur Aufklärung‘ bringen kann. Erst im achtzehnten Jahrhundert war mit dem Fortschrittsglauben die Steigerung des Sinngehaltes in der Geschichte zu einem völlig innerweltlichen Phänomen ohne transzendentale Einbrüche geworden. Diese zweite Phase der Immanentisierung soll ‚Säkularisierung‘ genannt werden.“ (168-169) </w:t>
      </w:r>
    </w:p>
    <w:p w:rsidR="00A47D3D" w:rsidRDefault="00A47D3D" w:rsidP="00A47D3D">
      <w:pPr>
        <w:rPr>
          <w:lang w:val="de-DE"/>
        </w:rPr>
      </w:pPr>
      <w:r>
        <w:rPr>
          <w:lang w:val="de-DE"/>
        </w:rPr>
        <w:t>„Ein Mensch kann nicht im absoluten Sinne auf sich zurückfallen; wenn er es versuchte, würde er sehr bald herausfinden, daß er in den Abgrund der Verzweiflung und des Nichts gestürzt ist.“ (174)</w:t>
      </w:r>
    </w:p>
    <w:p w:rsidR="00A47D3D" w:rsidRDefault="00A47D3D" w:rsidP="00A47D3D">
      <w:pPr>
        <w:rPr>
          <w:lang w:val="de-DE"/>
        </w:rPr>
      </w:pPr>
      <w:r>
        <w:rPr>
          <w:lang w:val="de-DE"/>
        </w:rPr>
        <w:t xml:space="preserve">„Der Versuch, den Sinn der Existenz zu immanentisieren, ist im Grunde ein Versuch, unsere Kenntnis der Transzendenz fester in den Griff zu bekommen, als die </w:t>
      </w:r>
      <w:r w:rsidRPr="00832ACA">
        <w:rPr>
          <w:i/>
          <w:lang w:val="de-DE"/>
        </w:rPr>
        <w:t>cognitio fidei</w:t>
      </w:r>
      <w:r>
        <w:rPr>
          <w:lang w:val="de-DE"/>
        </w:rPr>
        <w:t>, die Erkenntnis des Glaubens es uns gestattet. Die gnostischen Erfahrungen gewähren diesen festeren Griff, insofern als sie die Seele bis zu dem Punkt ausweiten, an welchem Gott in die menschliche Existenz hineingezogen wird.“ (175)</w:t>
      </w:r>
    </w:p>
    <w:p w:rsidR="00A47D3D" w:rsidRDefault="00A47D3D" w:rsidP="00A47D3D">
      <w:pPr>
        <w:rPr>
          <w:lang w:val="de-DE"/>
        </w:rPr>
      </w:pPr>
      <w:r>
        <w:rPr>
          <w:lang w:val="de-DE"/>
        </w:rPr>
        <w:t>„</w:t>
      </w:r>
      <w:r w:rsidRPr="00FB782B">
        <w:rPr>
          <w:highlight w:val="yellow"/>
          <w:lang w:val="de-DE"/>
        </w:rPr>
        <w:t>Die gnostischen Erfahrungen in der ganzen Skala ihrer Varianten sind der Kern der Re-Divinisation der Gesellschaft, denn die Menschen vergotten sich selbst, wenn sie solchen Erfahrungen verfallen</w:t>
      </w:r>
      <w:r>
        <w:rPr>
          <w:lang w:val="de-DE"/>
        </w:rPr>
        <w:t xml:space="preserve">“ (176) </w:t>
      </w:r>
    </w:p>
    <w:p w:rsidR="00A47D3D" w:rsidRDefault="00A47D3D" w:rsidP="00A47D3D">
      <w:pPr>
        <w:rPr>
          <w:lang w:val="de-DE"/>
        </w:rPr>
      </w:pPr>
      <w:r>
        <w:rPr>
          <w:lang w:val="de-DE"/>
        </w:rPr>
        <w:t xml:space="preserve">„In der gnostischen Spekulation des Szientismus erreichte diese Variante ihr Extrem, als der positivistische Voll-[180]ender der Wissenschaft die Ära Christi durch die Ära Comtes ersetzte. Der Szientismus ist bis zum heutigen Tage eine der stärksten gnostischen Bewegungen in der </w:t>
      </w:r>
      <w:r>
        <w:rPr>
          <w:lang w:val="de-DE"/>
        </w:rPr>
        <w:lastRenderedPageBreak/>
        <w:t>westlichen Gesellschaft, und der immanentistische Stolz auf die Wissenschaft ist so stark, daß sogar jede der Einzelwissenschaften ihren spezifischen Niederschlag gefunden hat in den Varianten des Heilswissens aus der Physik, der Wirtschaftswissenschaft, Soziologie, Biologie und Psychologie.“ (179-180)</w:t>
      </w:r>
    </w:p>
    <w:p w:rsidR="00A47D3D" w:rsidRDefault="00A47D3D" w:rsidP="00A47D3D">
      <w:pPr>
        <w:rPr>
          <w:lang w:val="de-DE"/>
        </w:rPr>
      </w:pPr>
      <w:r>
        <w:rPr>
          <w:lang w:val="de-DE"/>
        </w:rPr>
        <w:t>„</w:t>
      </w:r>
      <w:r w:rsidRPr="00FB782B">
        <w:rPr>
          <w:highlight w:val="yellow"/>
          <w:lang w:val="de-DE"/>
        </w:rPr>
        <w:t>Der Gnostizismus machte also auf äußerst wirksame Weise menschliche Kräfte frei für den Aufbau einer Zivilisation, indem er auf den begeisterten Einsatz dieser Kräfte für innerweltliche Betätigung die Prämie der Erlösung setzte</w:t>
      </w:r>
      <w:r>
        <w:rPr>
          <w:lang w:val="de-DE"/>
        </w:rPr>
        <w:t xml:space="preserve">.“ (183) </w:t>
      </w:r>
    </w:p>
    <w:p w:rsidR="00A47D3D" w:rsidRDefault="00A47D3D" w:rsidP="00A47D3D">
      <w:pPr>
        <w:rPr>
          <w:lang w:val="de-DE"/>
        </w:rPr>
      </w:pPr>
      <w:r>
        <w:rPr>
          <w:lang w:val="de-DE"/>
        </w:rPr>
        <w:t>„</w:t>
      </w:r>
      <w:r w:rsidRPr="00FB782B">
        <w:rPr>
          <w:highlight w:val="yellow"/>
          <w:lang w:val="de-DE"/>
        </w:rPr>
        <w:t>Je intensiver alle menschlichen Energien in das große Unternehmen der Erlösung durch welt-immanentes Handeln geworfen [185] werden, desto mehr entfernen sich diejenigen, die an diesem Unternehmen mitwirken, vom Leben des Geistes. Und da das Leben des Geistes die Quelle der Ordnung im Menschen und in der Gesellschaft ist, liegt gerade im Erfolg einer gnostischen Zivilisation die Ursache ihres Verfalls.</w:t>
      </w:r>
      <w:r>
        <w:rPr>
          <w:lang w:val="de-DE"/>
        </w:rPr>
        <w:t xml:space="preserve">“ (184-185) </w:t>
      </w:r>
    </w:p>
    <w:p w:rsidR="00A47D3D" w:rsidRDefault="00A47D3D" w:rsidP="00A47D3D">
      <w:pPr>
        <w:rPr>
          <w:lang w:val="de-DE"/>
        </w:rPr>
      </w:pPr>
      <w:r>
        <w:rPr>
          <w:lang w:val="de-DE"/>
        </w:rPr>
        <w:t xml:space="preserve">„Der Totalitarismus als existentielle Herrschaft gnostischer Aktivisten ist die Endform der progressiven Zivilisation.“ (185) </w:t>
      </w:r>
    </w:p>
    <w:p w:rsidR="00A47D3D" w:rsidRDefault="00A47D3D" w:rsidP="00A47D3D">
      <w:pPr>
        <w:rPr>
          <w:lang w:val="de-DE"/>
        </w:rPr>
      </w:pPr>
      <w:r>
        <w:rPr>
          <w:lang w:val="de-DE"/>
        </w:rPr>
        <w:t>„</w:t>
      </w:r>
      <w:r w:rsidRPr="00FB782B">
        <w:rPr>
          <w:highlight w:val="yellow"/>
          <w:lang w:val="de-DE"/>
        </w:rPr>
        <w:t>Angesichts dieser weltweiten Ausdehnung ist es nötig, das Selbstverständliche festzustellen: daß die menschliche Natur sich nicht ändert. Die Verschließung der Seele im modernen Gnostizismus kann die Wahrheit der Seele wie auch die Erfahrungen, die sich in Philosophie und Christentum manifestieren, unterdrücken, aber sie kann die Seele und ihre Transzendenz nicht aus der Struktur der Wirklichkeit entfernen</w:t>
      </w:r>
      <w:r>
        <w:rPr>
          <w:lang w:val="de-DE"/>
        </w:rPr>
        <w:t xml:space="preserve">.“ (227) </w:t>
      </w:r>
    </w:p>
    <w:p w:rsidR="00A47D3D" w:rsidRPr="005B5832" w:rsidRDefault="00A47D3D" w:rsidP="00A47D3D">
      <w:pPr>
        <w:rPr>
          <w:lang w:val="de-DE"/>
        </w:rPr>
      </w:pPr>
      <w:r w:rsidRPr="005B5832">
        <w:rPr>
          <w:lang w:val="de-DE"/>
        </w:rPr>
        <w:t>“Wenige Stellen könnten den Bankrott des liberalen Intell</w:t>
      </w:r>
      <w:r>
        <w:rPr>
          <w:lang w:val="de-DE"/>
        </w:rPr>
        <w:t xml:space="preserve">ektuellen unserer Zeit deutlicher aufzeigen als diese. Philosophie und Christentum liegen außerhalb seines Erfahrungsbereiches. Die Wissenschaft wird ein Werkzeug zur Beherrschung der Natur; und im übrigen macht sie den Menschen so blasiert, daß er nicht an Gott glaubt. </w:t>
      </w:r>
      <w:r w:rsidRPr="00FB782B">
        <w:rPr>
          <w:highlight w:val="yellow"/>
          <w:lang w:val="de-DE"/>
        </w:rPr>
        <w:t>Der Himmel wird auf Erden errichtet werden. Die Selbsterlösung, die Tragödie des Gnostizismus, die Nietzsche durchlebte, bis sie seine Seele zerbrach, ist ein Lebensinhalt, den jeder Mensch mit dem Gefühl gewinnt, er leiste seinen Beitrag zur Gesellschaft gemäß seinem Können, wofür er als Gegenleistung seinen Wochenlohn erhält. Es gibt keine Probleme menschlicher Existenz in der Gesellschaft außer der immanenten Befriedigung der Massen.</w:t>
      </w:r>
      <w:r>
        <w:rPr>
          <w:lang w:val="de-DE"/>
        </w:rPr>
        <w:t xml:space="preserve">“ (240) </w:t>
      </w:r>
    </w:p>
    <w:p w:rsidR="00A47D3D" w:rsidRDefault="00A47D3D">
      <w:pPr>
        <w:rPr>
          <w:lang w:val="de-DE"/>
        </w:rPr>
      </w:pPr>
    </w:p>
    <w:p w:rsidR="00A47D3D" w:rsidRPr="000509F8" w:rsidRDefault="00A47D3D" w:rsidP="00A47D3D">
      <w:pPr>
        <w:rPr>
          <w:b/>
          <w:lang w:val="de-DE"/>
        </w:rPr>
      </w:pPr>
      <w:r w:rsidRPr="000509F8">
        <w:rPr>
          <w:b/>
          <w:lang w:val="de-DE"/>
        </w:rPr>
        <w:t xml:space="preserve">Eric Voegelin: Die politischen Religionen. Herausgegeben und mit einem Nachwort versehen von Peter J. Opitz. München: Wilhelm Fink, 2007. </w:t>
      </w:r>
    </w:p>
    <w:p w:rsidR="00A47D3D" w:rsidRDefault="00A47D3D" w:rsidP="00A47D3D">
      <w:pPr>
        <w:rPr>
          <w:lang w:val="de-DE"/>
        </w:rPr>
      </w:pPr>
    </w:p>
    <w:p w:rsidR="00A47D3D" w:rsidRDefault="00A47D3D" w:rsidP="00A47D3D">
      <w:pPr>
        <w:rPr>
          <w:lang w:val="de-DE"/>
        </w:rPr>
      </w:pPr>
      <w:r>
        <w:rPr>
          <w:lang w:val="de-DE"/>
        </w:rPr>
        <w:t xml:space="preserve">„Wir müssen daher eine sprachliche Entscheidung fällen: die Geistreligionen, die das Realissimum im Weltgrund finden, sollen für uns überweltliche Religionen heißen; alle anderen, die das Göttliche in Teilinhalten der Welt finden, sollen innerweltliche Religionen heißen.“ (17) </w:t>
      </w:r>
    </w:p>
    <w:p w:rsidR="00A47D3D" w:rsidRDefault="00A47D3D" w:rsidP="00A47D3D">
      <w:pPr>
        <w:rPr>
          <w:lang w:val="de-DE"/>
        </w:rPr>
      </w:pPr>
      <w:r>
        <w:rPr>
          <w:lang w:val="de-DE"/>
        </w:rPr>
        <w:t xml:space="preserve">Innerweltliche Gemeinschaft: „Langsam wandeln sich dagegen die Inhalte in der Richtung, die der Leviathan vorgezeichnet hat. Die Ekklesia löst sich immer mehr aus dem Verband des universalen Reiches mit der hierarchischen Spitze in Gott, bis sie sich in einzelnen Fällen verselbständigt und innerweltlich schließt. Sie ist nicht mehr sakral von der obersten Quelle her durchströmt, sondern ist selbst ursprüngliche sakrale Substanz geworden.“ (49) </w:t>
      </w:r>
    </w:p>
    <w:p w:rsidR="00A47D3D" w:rsidRDefault="00A47D3D" w:rsidP="00A47D3D">
      <w:pPr>
        <w:rPr>
          <w:lang w:val="de-DE"/>
        </w:rPr>
      </w:pPr>
      <w:r>
        <w:rPr>
          <w:lang w:val="de-DE"/>
        </w:rPr>
        <w:t xml:space="preserve">„neuen Innerweltlichkeit“ (49) </w:t>
      </w:r>
    </w:p>
    <w:p w:rsidR="00A47D3D" w:rsidRDefault="00A47D3D" w:rsidP="00A47D3D">
      <w:pPr>
        <w:rPr>
          <w:lang w:val="de-DE"/>
        </w:rPr>
      </w:pPr>
      <w:r>
        <w:rPr>
          <w:lang w:val="de-DE"/>
        </w:rPr>
        <w:t xml:space="preserve">„Die Welt als Inhalt hat die Welt als Existenz verdrängt. Die Methoden der Wissenschaft als Formen der Erforschung des Weltinhaltes werden zu den allgemein verbindlichen, auf die sich die Haltung des Menschen zur Welt zu gründen habe; seit dem 19. Jahrhundert wird über große </w:t>
      </w:r>
      <w:r>
        <w:rPr>
          <w:lang w:val="de-DE"/>
        </w:rPr>
        <w:lastRenderedPageBreak/>
        <w:t xml:space="preserve">Perioden bis zur Gegenwart das Wort ‚metaphysisch‘ zum Schimpfwort, Religion zu ‚Opium für das Volk‘ und in einer neuen Wendung zu einer ‚Illusion‘ von fragwürdiger Zukunft. Gegenformeln zu den Geistreligionen und ihrer Weltansicht werden gebildet, die sich aus der Weltwissenschaft als der gültigen Form der Einsicht im Gegensatz zu Offenbarung und mystischem Denken legitimieren“ (50) </w:t>
      </w:r>
    </w:p>
    <w:p w:rsidR="00A47D3D" w:rsidRDefault="00A47D3D" w:rsidP="00A47D3D">
      <w:pPr>
        <w:rPr>
          <w:lang w:val="de-DE"/>
        </w:rPr>
      </w:pPr>
      <w:r>
        <w:rPr>
          <w:lang w:val="de-DE"/>
        </w:rPr>
        <w:t xml:space="preserve">„Die Menschen können den Weltinhalt so anwachsen lassen, daß Welt und Gott hinter ihm verschwinden, aber sie können nicht die Problematik ihrer Existenz aufheben. Sie lebt in jeder Einzelseele weiter, und wenn Gott hinter der Welt unsichtbar geworden ist, dann werden die Inhalte der Welt zu neuen Göttern; wenn die Symbole der überweltlichen Religiosität verbannt werden, treten neue, aus der innerweltlichen Wissenschaftssprache entwickelte Symbole an ihrer Stelle. Die innerweltliche Gemeinschaft hat ihre Apokalypse so wie die christliche Ekklesia, nur bestehen die neuen Apokalyptiker darauf, daß ihre Symbolschöpfungen wissenschaftliche Urteile seien.“ (50) </w:t>
      </w:r>
    </w:p>
    <w:p w:rsidR="00A47D3D" w:rsidRDefault="00A47D3D" w:rsidP="00A47D3D">
      <w:pPr>
        <w:rPr>
          <w:lang w:val="de-DE"/>
        </w:rPr>
      </w:pPr>
      <w:r>
        <w:rPr>
          <w:lang w:val="de-DE"/>
        </w:rPr>
        <w:t xml:space="preserve">„Das Endreich ist nicht mehr eine überirdische Gemeinschaft des Geistes, sondern ein irdischer Zustand vollkommener Menschheit. […] Die Menschheit ist das große Kollektivum, an dessen Entwicklung jeder Mensch zu seinem Teil mitzuarbeiten hat; sie ist irdisch geschlossen, nur als Ganzes schreitet sie fort, und der Sinn der Einzelexistenz ist das instrumentale Wirken zum kollektiven Fortschritt.“ (51) </w:t>
      </w:r>
    </w:p>
    <w:p w:rsidR="00A47D3D" w:rsidRPr="000509F8" w:rsidRDefault="00A47D3D" w:rsidP="00A47D3D">
      <w:pPr>
        <w:rPr>
          <w:lang w:val="de-DE"/>
        </w:rPr>
      </w:pPr>
      <w:r>
        <w:rPr>
          <w:lang w:val="de-DE"/>
        </w:rPr>
        <w:t xml:space="preserve">„zur positivistischen Apokalypse gehören Religion und Metaphysik als das Böse“ (52) </w:t>
      </w:r>
    </w:p>
    <w:p w:rsidR="00A47D3D" w:rsidRDefault="00A47D3D">
      <w:pPr>
        <w:rPr>
          <w:lang w:val="de-DE"/>
        </w:rPr>
      </w:pPr>
    </w:p>
    <w:p w:rsidR="00D36AB7" w:rsidRDefault="00D36AB7">
      <w:pPr>
        <w:rPr>
          <w:lang w:val="de-DE"/>
        </w:rPr>
      </w:pPr>
    </w:p>
    <w:p w:rsidR="00D36AB7" w:rsidRDefault="00600EF1" w:rsidP="00FC2E0F">
      <w:pPr>
        <w:pStyle w:val="Heading1"/>
        <w:rPr>
          <w:lang w:val="de-DE"/>
        </w:rPr>
      </w:pPr>
      <w:bookmarkStart w:id="9" w:name="_Toc31886202"/>
      <w:r>
        <w:rPr>
          <w:lang w:val="de-DE"/>
        </w:rPr>
        <w:t>(6</w:t>
      </w:r>
      <w:r w:rsidR="00FC2E0F">
        <w:rPr>
          <w:lang w:val="de-DE"/>
        </w:rPr>
        <w:t>) Nichttun als Einhalten und Besinnen</w:t>
      </w:r>
      <w:r w:rsidR="002F6924">
        <w:rPr>
          <w:lang w:val="de-DE"/>
        </w:rPr>
        <w:t xml:space="preserve">: </w:t>
      </w:r>
      <w:r w:rsidR="002F6924" w:rsidRPr="002562CE">
        <w:rPr>
          <w:i/>
          <w:lang w:val="de-DE"/>
        </w:rPr>
        <w:t>metanoia</w:t>
      </w:r>
      <w:bookmarkEnd w:id="9"/>
      <w:r w:rsidR="002F6924">
        <w:rPr>
          <w:lang w:val="de-DE"/>
        </w:rPr>
        <w:t xml:space="preserve"> </w:t>
      </w:r>
    </w:p>
    <w:p w:rsidR="00D36AB7" w:rsidRPr="00D36AB7" w:rsidRDefault="00D36AB7" w:rsidP="00D36AB7">
      <w:pPr>
        <w:spacing w:after="160" w:line="259" w:lineRule="auto"/>
        <w:rPr>
          <w:lang w:val="de-DE"/>
        </w:rPr>
      </w:pPr>
      <w:r w:rsidRPr="00D36AB7">
        <w:rPr>
          <w:lang w:val="de-DE"/>
        </w:rPr>
        <w:t xml:space="preserve">Tolstois heilszentriertes Denken (und Bernhard von Clairvaux) </w:t>
      </w:r>
    </w:p>
    <w:p w:rsidR="00D36AB7" w:rsidRDefault="00D36AB7" w:rsidP="00D36AB7">
      <w:pPr>
        <w:rPr>
          <w:lang w:val="de-DE"/>
        </w:rPr>
      </w:pPr>
      <w:r w:rsidRPr="00D36AB7">
        <w:rPr>
          <w:lang w:val="de-DE"/>
        </w:rPr>
        <w:t xml:space="preserve">„Meinst du, es ist eine geringe Sache, zu leben wissen? Etwas Großes ist es, ja das Größte.“ (Bernhard von Clairvaux) </w:t>
      </w:r>
    </w:p>
    <w:p w:rsidR="00D36AB7" w:rsidRPr="00D36AB7" w:rsidRDefault="00D36AB7" w:rsidP="00D36AB7">
      <w:pPr>
        <w:rPr>
          <w:lang w:val="de-DE"/>
        </w:rPr>
      </w:pPr>
    </w:p>
    <w:p w:rsidR="00D36AB7" w:rsidRDefault="00D36AB7" w:rsidP="00D36AB7">
      <w:pPr>
        <w:rPr>
          <w:lang w:val="de-DE"/>
        </w:rPr>
      </w:pPr>
      <w:r>
        <w:rPr>
          <w:lang w:val="de-DE"/>
        </w:rPr>
        <w:t xml:space="preserve">Treffend war diese Bemerkung nicht nur, weil Tolstoi seit seiner Bekehrung sich zumindst theoretisch von sinnlichen Genuessen und Lastern losgesagt hatte und allgemein anerkannt wurde als jemand, der Askese predige. Wichtiger in diesem Zusammenhang ist jedoch eine andere Parallele mit einem Moench des 12. Jahrhunderts, und zwar mit einem der prominentesten Moenche dieser Zeit: Bernhard von Clairvaux. Wie dieser unterzieht er dem Wissen seiner Zeit einer Kritik unter der Hinsicht der Fruchtbarkeit fuer das Seelenheit, oder, anders gesprochen, Tolstois Denken ist seit seiner Bekehrung wie Bernhards Denken wesentlich </w:t>
      </w:r>
      <w:r w:rsidRPr="006845A6">
        <w:rPr>
          <w:i/>
          <w:lang w:val="de-DE"/>
        </w:rPr>
        <w:t>heilszentriert</w:t>
      </w:r>
      <w:r>
        <w:rPr>
          <w:lang w:val="de-DE"/>
        </w:rPr>
        <w:t xml:space="preserve">. Das beinhaltet: (a) sich dem Wissen zuerst zuwenden, welches heilsrelevant ist (Priorisierung), (b) sich von Neugier (Wissen um seienr selbst willen) fernzuhalten, (c) ein Wissen von sich selbst zu erlangen, welches (d) das Wissen Gottes beinhaltet oder auf ihn weist. Das eine Wissen, das not tut (unum necessarium) ist folglich das Wissen um seiner selbst und seiner Unzulaenglichkeit vor Gott. Nichts anderes beschreibt Tolstoi in seinen Bekenntnisschriften. Wie er immer wieder in das Nichttun festhalten wird: wahrer Wandel (im Gegensatz zum status-quo-stuetzenden Fortschritt, wie ihn der Positivismus versteht) beginnt mit der eigenen Erkenntnis, welche den Abstand zu Gott ausmisst. </w:t>
      </w:r>
    </w:p>
    <w:p w:rsidR="00D36AB7" w:rsidRDefault="00D36AB7">
      <w:pPr>
        <w:rPr>
          <w:lang w:val="de-DE"/>
        </w:rPr>
      </w:pPr>
    </w:p>
    <w:p w:rsidR="008E22FD" w:rsidRDefault="00600EF1" w:rsidP="008E22FD">
      <w:pPr>
        <w:pStyle w:val="Heading1"/>
        <w:rPr>
          <w:lang w:val="de-DE"/>
        </w:rPr>
      </w:pPr>
      <w:bookmarkStart w:id="10" w:name="_Toc31886203"/>
      <w:r>
        <w:rPr>
          <w:lang w:val="de-DE"/>
        </w:rPr>
        <w:lastRenderedPageBreak/>
        <w:t>(7</w:t>
      </w:r>
      <w:r w:rsidR="008E22FD">
        <w:rPr>
          <w:lang w:val="de-DE"/>
        </w:rPr>
        <w:t xml:space="preserve">) </w:t>
      </w:r>
      <w:r w:rsidR="00490365">
        <w:rPr>
          <w:lang w:val="de-DE"/>
        </w:rPr>
        <w:t>Nichtt</w:t>
      </w:r>
      <w:bookmarkStart w:id="11" w:name="_GoBack"/>
      <w:bookmarkEnd w:id="11"/>
      <w:r w:rsidR="00490365">
        <w:rPr>
          <w:lang w:val="de-DE"/>
        </w:rPr>
        <w:t>un und</w:t>
      </w:r>
      <w:r w:rsidR="00997FE1">
        <w:rPr>
          <w:lang w:val="de-DE"/>
        </w:rPr>
        <w:t xml:space="preserve"> freudige Dankbarkeit</w:t>
      </w:r>
      <w:bookmarkEnd w:id="10"/>
    </w:p>
    <w:p w:rsidR="008E22FD" w:rsidRDefault="008E22FD">
      <w:pPr>
        <w:rPr>
          <w:lang w:val="de-DE"/>
        </w:rPr>
      </w:pPr>
    </w:p>
    <w:p w:rsidR="008E22FD" w:rsidRDefault="008E22FD">
      <w:pPr>
        <w:rPr>
          <w:lang w:val="de-DE"/>
        </w:rPr>
      </w:pPr>
      <w:r>
        <w:rPr>
          <w:lang w:val="de-DE"/>
        </w:rPr>
        <w:t xml:space="preserve">Tolstoi der Kulturrevolutionaer, reinigt die kulturellen Arterien, ein unermuedlicher Warner und Prophet. Er hat sich selbst nicht viel Ruhe gegoennt, und diese, so scheint es, vor allem in der Natur gefunden zu haben. </w:t>
      </w:r>
    </w:p>
    <w:p w:rsidR="008E22FD" w:rsidRDefault="008E22FD">
      <w:pPr>
        <w:rPr>
          <w:lang w:val="de-DE"/>
        </w:rPr>
      </w:pPr>
    </w:p>
    <w:p w:rsidR="005F7396" w:rsidRPr="001E24D8" w:rsidRDefault="005F7396" w:rsidP="005F7396">
      <w:pPr>
        <w:rPr>
          <w:b/>
          <w:lang w:val="de-DE"/>
        </w:rPr>
      </w:pPr>
      <w:r>
        <w:rPr>
          <w:lang w:val="de-DE"/>
        </w:rPr>
        <w:t>„dieser leidenschaftlich lebendige Mensch sein Leben lang ein restlos Werdender war.“ (</w:t>
      </w:r>
      <w:r w:rsidRPr="001E24D8">
        <w:rPr>
          <w:b/>
          <w:lang w:val="de-DE"/>
        </w:rPr>
        <w:t>Karl Nötzel: Tolstoi und wir. München: Musarion Verlag, 1919.</w:t>
      </w:r>
    </w:p>
    <w:p w:rsidR="005F7396" w:rsidRDefault="005F7396" w:rsidP="005F7396">
      <w:pPr>
        <w:rPr>
          <w:lang w:val="de-DE"/>
        </w:rPr>
      </w:pPr>
      <w:r>
        <w:rPr>
          <w:lang w:val="de-DE"/>
        </w:rPr>
        <w:t xml:space="preserve">19) </w:t>
      </w:r>
    </w:p>
    <w:p w:rsidR="005F7396" w:rsidRPr="001E24D8" w:rsidRDefault="005F7396" w:rsidP="005F7396">
      <w:pPr>
        <w:rPr>
          <w:b/>
          <w:lang w:val="de-DE"/>
        </w:rPr>
      </w:pPr>
      <w:r>
        <w:rPr>
          <w:lang w:val="de-DE"/>
        </w:rPr>
        <w:t>„Dieser ruhelos der Welt des Sollens Nachjagende fühlte sich als Künstler mit unwiderstehlicher Gewalt hingezogen zur Welt des Seins. Zwischen beiden führt keine Brücke. Das ist der eigentliche Zwiespalt dieses Daseins.“ (</w:t>
      </w:r>
      <w:r w:rsidRPr="001E24D8">
        <w:rPr>
          <w:b/>
          <w:lang w:val="de-DE"/>
        </w:rPr>
        <w:t>Karl Nötzel: Tolstoi und wir. München: Musarion Verlag, 1919.</w:t>
      </w:r>
    </w:p>
    <w:p w:rsidR="005F7396" w:rsidRDefault="005F7396" w:rsidP="005F7396">
      <w:pPr>
        <w:rPr>
          <w:lang w:val="de-DE"/>
        </w:rPr>
      </w:pPr>
      <w:r>
        <w:rPr>
          <w:lang w:val="de-DE"/>
        </w:rPr>
        <w:t>23)</w:t>
      </w:r>
    </w:p>
    <w:p w:rsidR="005F7396" w:rsidRDefault="005F7396">
      <w:pPr>
        <w:rPr>
          <w:lang w:val="de-DE"/>
        </w:rPr>
      </w:pPr>
    </w:p>
    <w:p w:rsidR="005F7396" w:rsidRPr="004D414F" w:rsidRDefault="005F7396" w:rsidP="005F7396">
      <w:pPr>
        <w:rPr>
          <w:b/>
          <w:lang w:val="de-DE"/>
        </w:rPr>
      </w:pPr>
      <w:r>
        <w:rPr>
          <w:lang w:val="de-DE"/>
        </w:rPr>
        <w:t>„und das von der Wissenschaft eingelullte Gewissen des Gegenwartsmenschen mit elementarer Wucht wachrüttelt“ (</w:t>
      </w:r>
      <w:r w:rsidRPr="004D414F">
        <w:rPr>
          <w:b/>
          <w:lang w:val="de-DE"/>
        </w:rPr>
        <w:t>Ludwig Stein: Tolstois Stellung in der Geschichte der Philosophie. Archiv für Philosophie. I. Abteilung: Archiv für Geschichte der Philosophie. Neue Folge. XXV. Band, 3. u. 4. Heft, 125-141.</w:t>
      </w:r>
    </w:p>
    <w:p w:rsidR="005F7396" w:rsidRDefault="005F7396" w:rsidP="005F7396">
      <w:pPr>
        <w:rPr>
          <w:lang w:val="de-DE"/>
        </w:rPr>
      </w:pPr>
      <w:r>
        <w:rPr>
          <w:lang w:val="de-DE"/>
        </w:rPr>
        <w:t>137)</w:t>
      </w:r>
    </w:p>
    <w:p w:rsidR="005F7396" w:rsidRPr="004D414F" w:rsidRDefault="005F7396" w:rsidP="005F7396">
      <w:pPr>
        <w:rPr>
          <w:b/>
          <w:lang w:val="de-DE"/>
        </w:rPr>
      </w:pPr>
      <w:r>
        <w:rPr>
          <w:lang w:val="de-DE"/>
        </w:rPr>
        <w:t>„Immer wieder brauchen wir solche Mahner, Rufer, Wecker, wenn wir nahe daran sind, von einer kulturlichen Schlafkrankheit befallen und überwältigt werden. Diese Bekenntnisdenker sind die glücklichen Störenfriede und Umwerter, die uns vor einer seelischen Arterienverkalkung zu schützen die Fügung und innere Berufung haben.“ (</w:t>
      </w:r>
      <w:r w:rsidRPr="004D414F">
        <w:rPr>
          <w:b/>
          <w:lang w:val="de-DE"/>
        </w:rPr>
        <w:t>Ludwig Stein: Tolstois Stellung in der Geschichte der Philosophie. Archiv für Philosophie. I. Abteilung: Archiv für Geschichte der Philosophie. Neue Folge. XXV. Band, 3. u. 4. Heft, 125-141.</w:t>
      </w:r>
    </w:p>
    <w:p w:rsidR="005F7396" w:rsidRPr="00372AB6" w:rsidRDefault="005F7396" w:rsidP="005F7396">
      <w:pPr>
        <w:rPr>
          <w:lang w:val="de-DE"/>
        </w:rPr>
      </w:pPr>
      <w:r>
        <w:rPr>
          <w:lang w:val="de-DE"/>
        </w:rPr>
        <w:t xml:space="preserve">137) </w:t>
      </w:r>
    </w:p>
    <w:p w:rsidR="005F7396" w:rsidRDefault="005F7396">
      <w:pPr>
        <w:rPr>
          <w:lang w:val="de-DE"/>
        </w:rPr>
      </w:pPr>
    </w:p>
    <w:p w:rsidR="005F7396" w:rsidRDefault="00EF378D">
      <w:pPr>
        <w:rPr>
          <w:lang w:val="de-DE"/>
        </w:rPr>
      </w:pPr>
      <w:r>
        <w:rPr>
          <w:lang w:val="de-DE"/>
        </w:rPr>
        <w:t>Siehe auch Marcuse, Philosophie des Gluecks</w:t>
      </w:r>
    </w:p>
    <w:p w:rsidR="00EF378D" w:rsidRDefault="00EF378D">
      <w:pPr>
        <w:rPr>
          <w:lang w:val="de-DE"/>
        </w:rPr>
      </w:pPr>
    </w:p>
    <w:p w:rsidR="00EF378D" w:rsidRDefault="00EF378D">
      <w:pPr>
        <w:rPr>
          <w:lang w:val="de-DE"/>
        </w:rPr>
      </w:pPr>
    </w:p>
    <w:p w:rsidR="005F7396" w:rsidRPr="00FC67A7" w:rsidRDefault="005F7396" w:rsidP="005F7396">
      <w:pPr>
        <w:rPr>
          <w:b/>
          <w:lang w:val="de-DE"/>
        </w:rPr>
      </w:pPr>
      <w:r w:rsidRPr="00FC67A7">
        <w:rPr>
          <w:b/>
          <w:lang w:val="de-DE"/>
        </w:rPr>
        <w:t>Lew Tolstoi: Die Kosaken. In: Krieg im Kaukasus. Die kaukasische Prosa, neu übersetzt und kommentiert von Rosemarie Tietze. Berlin: Suhrkamp, 2018, 97-316.</w:t>
      </w:r>
    </w:p>
    <w:p w:rsidR="005F7396" w:rsidRPr="00FC67A7" w:rsidRDefault="005F7396" w:rsidP="005F7396">
      <w:pPr>
        <w:rPr>
          <w:lang w:val="de-DE"/>
        </w:rPr>
      </w:pPr>
    </w:p>
    <w:p w:rsidR="005F7396" w:rsidRPr="00950083" w:rsidRDefault="005F7396" w:rsidP="005F7396">
      <w:pPr>
        <w:rPr>
          <w:lang w:val="de-DE"/>
        </w:rPr>
      </w:pPr>
      <w:r>
        <w:rPr>
          <w:lang w:val="de-DE"/>
        </w:rPr>
        <w:t xml:space="preserve">„Die Sonne stand gerade über dem Wald und brannte senkrecht herab auf Rücken und Kopf, wenn er auf die Lichtung oder den Weg hinaustrat. Die sieben schweren Fasanen zogen ihm schmerzhaft am Kreuz. Er fand die gestrigen Hirschfährten und schlich sich ins Dickicht, dorthin, wo gestern der Hirsch gelegen war, und ließ sich auf dessen Lager nieder. Betrachtete das dunkle Grün ringsum, betrachtete die beschwitzte Stelle, die gestrige Losung, den Abdruck der Hirschknie, das Häufchen schwarzer Erde, das der Hirsch aufgerissen hatte, und seine eigenen gestrigen Spuren. Ihm war kühl, behaglich; er dachte an nichts, wünschte nichts. Und plötzlich befiel ihn ein derartig merkwürdiges Gefühl grundlosen Glücks und der Liebe zu allem und jedem, dass er nach alter Kindergewohnheit sich bekreuzigte und jemandem dankte. Ihm fuhr </w:t>
      </w:r>
      <w:r>
        <w:rPr>
          <w:lang w:val="de-DE"/>
        </w:rPr>
        <w:lastRenderedPageBreak/>
        <w:t>mit besonderer Klarheit plötzlich durch den Sinn: ‚Da bin ich, Dmitri Olenin, ein Geschöpf, anders als alle anderen, nun allein hier, weiß Gott wo, an einer Stelle, wo ein Hirsch gewohnt hat, ein alter Hirsch, ein schöner, der vielleicht noch nie einen Menschen gesehen hat, an einer Stelle, wo noch nie ein Mensch gesessen ist und das gleiche gedacht hat. Sitze hier, rings um mich stehen junge und alte Bäume, und einer ist von Ranken wilden Weins umschlungen: nah bei mir wuseln Fasane, vertreiben sich gegenseitig und wittern vielleicht die toten Brüder.‘ Er tastete nach seinen Fasanen, betrachtete sie und wischte das warme Blut von seiner Hand an der Tscherkesska ab.“ (206)</w:t>
      </w:r>
    </w:p>
    <w:p w:rsidR="008E22FD" w:rsidRDefault="008E22FD">
      <w:pPr>
        <w:rPr>
          <w:lang w:val="de-DE"/>
        </w:rPr>
      </w:pPr>
    </w:p>
    <w:p w:rsidR="00600EF1" w:rsidRDefault="00600EF1" w:rsidP="00600EF1">
      <w:pPr>
        <w:rPr>
          <w:lang w:val="de-DE"/>
        </w:rPr>
      </w:pPr>
      <w:r>
        <w:rPr>
          <w:lang w:val="de-DE"/>
        </w:rPr>
        <w:t>„Heute hat sich nach einer kalten Nacht der Himmel mit leichten Wölkchen bedeckt, es ist still und warm, aber man empfindet die Frische der Nacht, Gras und Blätter sind von leuchtendem Grün. Im Wald ist es still, nur die Habichte kreischen. Die Felder sind leer. Die Wintersaat bildet auf den vom Gras befreiten Äckern einen dichten grünen Teppich, manchmal mit Bunt vermischt, manchmal völlig grün. Altweibersommer beginnt zu fliegen. Unter den Füßen Blätter und Pilze, und eine Stille, daß man bei jedem Laut erschreckt. Ich bin auf Reizkersuche gegangen, habe nichts gefunden, mich aber die ganze Zeit gefreut. Bald kommen einem klare, zusammenhängende, gute Gedanken (einmal habe ich den ganzen Katechismus – meine jetzige Arbeit – vor mir gesehen), bald denkt man gar nichts und empfindet nur freudige Dankbarkeit.“ (185)</w:t>
      </w:r>
    </w:p>
    <w:p w:rsidR="00600EF1" w:rsidRPr="0026302D" w:rsidRDefault="00600EF1" w:rsidP="00600EF1">
      <w:pPr>
        <w:rPr>
          <w:lang w:val="de-DE"/>
        </w:rPr>
      </w:pPr>
      <w:r w:rsidRPr="00CB2978">
        <w:rPr>
          <w:lang w:val="de-DE"/>
        </w:rPr>
        <w:t xml:space="preserve">An M.L. Tolstoja, 30. </w:t>
      </w:r>
      <w:r w:rsidRPr="0026302D">
        <w:rPr>
          <w:lang w:val="de-DE"/>
        </w:rPr>
        <w:t xml:space="preserve">August 1894, Marja Lwowna Fürstin Obolenskaja, geb. </w:t>
      </w:r>
      <w:r>
        <w:rPr>
          <w:lang w:val="de-DE"/>
        </w:rPr>
        <w:t>Gräfin Tolstaja (1871-1906), Mascha, Tolstois zweite Tochter</w:t>
      </w:r>
    </w:p>
    <w:p w:rsidR="008E22FD" w:rsidRDefault="008E22FD">
      <w:pPr>
        <w:rPr>
          <w:lang w:val="de-DE"/>
        </w:rPr>
      </w:pPr>
    </w:p>
    <w:p w:rsidR="008E22FD" w:rsidRDefault="008E22FD">
      <w:pPr>
        <w:rPr>
          <w:lang w:val="de-DE"/>
        </w:rPr>
      </w:pPr>
      <w:r>
        <w:rPr>
          <w:lang w:val="de-DE"/>
        </w:rPr>
        <w:t>Sein und Sollen in Einklang bringen</w:t>
      </w:r>
    </w:p>
    <w:p w:rsidR="00A8416C" w:rsidRDefault="00A8416C">
      <w:pPr>
        <w:rPr>
          <w:lang w:val="de-DE"/>
        </w:rPr>
      </w:pPr>
    </w:p>
    <w:p w:rsidR="00A8416C" w:rsidRDefault="00A8416C">
      <w:pPr>
        <w:rPr>
          <w:lang w:val="de-DE"/>
        </w:rPr>
      </w:pPr>
      <w:r w:rsidRPr="00A8416C">
        <w:rPr>
          <w:noProof/>
          <w:lang w:val="en-CA" w:eastAsia="en-CA"/>
        </w:rPr>
        <w:drawing>
          <wp:inline distT="0" distB="0" distL="0" distR="0">
            <wp:extent cx="5516880" cy="769620"/>
            <wp:effectExtent l="0" t="0" r="7620" b="0"/>
            <wp:docPr id="1" name="Picture 1" descr="U:\Documents\Florian\sche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ocuments\Florian\scheler.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6880" cy="769620"/>
                    </a:xfrm>
                    <a:prstGeom prst="rect">
                      <a:avLst/>
                    </a:prstGeom>
                    <a:noFill/>
                    <a:ln>
                      <a:noFill/>
                    </a:ln>
                  </pic:spPr>
                </pic:pic>
              </a:graphicData>
            </a:graphic>
          </wp:inline>
        </w:drawing>
      </w:r>
    </w:p>
    <w:p w:rsidR="00A8416C" w:rsidRPr="00A47D3D" w:rsidRDefault="00A8416C">
      <w:pPr>
        <w:rPr>
          <w:lang w:val="de-DE"/>
        </w:rPr>
      </w:pPr>
      <w:r>
        <w:rPr>
          <w:lang w:val="de-DE"/>
        </w:rPr>
        <w:t xml:space="preserve">Max Scheler, Der Bourgeois (zweite oder dritte Seite) </w:t>
      </w:r>
    </w:p>
    <w:sectPr w:rsidR="00A8416C" w:rsidRPr="00A47D3D"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2CE" w:rsidRDefault="002562CE" w:rsidP="00D374BF">
      <w:r>
        <w:separator/>
      </w:r>
    </w:p>
  </w:endnote>
  <w:endnote w:type="continuationSeparator" w:id="0">
    <w:p w:rsidR="002562CE" w:rsidRDefault="002562CE" w:rsidP="00D3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2CE" w:rsidRDefault="002562CE" w:rsidP="00D374BF">
      <w:r>
        <w:separator/>
      </w:r>
    </w:p>
  </w:footnote>
  <w:footnote w:type="continuationSeparator" w:id="0">
    <w:p w:rsidR="002562CE" w:rsidRDefault="002562CE" w:rsidP="00D374BF">
      <w:r>
        <w:continuationSeparator/>
      </w:r>
    </w:p>
  </w:footnote>
  <w:footnote w:id="1">
    <w:p w:rsidR="002562CE" w:rsidRPr="00D374BF" w:rsidRDefault="002562CE" w:rsidP="00D374BF">
      <w:pPr>
        <w:rPr>
          <w:b/>
          <w:lang w:val="de-DE"/>
        </w:rPr>
      </w:pPr>
      <w:r>
        <w:rPr>
          <w:rStyle w:val="FootnoteReference"/>
        </w:rPr>
        <w:footnoteRef/>
      </w:r>
      <w:r w:rsidRPr="00D374BF">
        <w:rPr>
          <w:lang w:val="de-DE"/>
        </w:rPr>
        <w:t xml:space="preserve"> </w:t>
      </w:r>
      <w:r w:rsidRPr="00C60B8F">
        <w:rPr>
          <w:b/>
          <w:lang w:val="de-DE"/>
        </w:rPr>
        <w:t>Gernot Böhme: Am Ende des Baconschen Zeitalters. In: Am Ende des Baconschen Zeitalters. Studien zur Wissenschaftsentwicklung. Frankfurt am Main: Suhrkamp, 1993, 7-31</w:t>
      </w:r>
      <w:r>
        <w:rPr>
          <w:b/>
          <w:lang w:val="de-DE"/>
        </w:rPr>
        <w:t xml:space="preserve">, 9. </w:t>
      </w:r>
    </w:p>
  </w:footnote>
  <w:footnote w:id="2">
    <w:p w:rsidR="002562CE" w:rsidRPr="00D374BF" w:rsidRDefault="002562CE">
      <w:pPr>
        <w:pStyle w:val="FootnoteText"/>
        <w:rPr>
          <w:lang w:val="de-DE"/>
        </w:rPr>
      </w:pPr>
      <w:r>
        <w:rPr>
          <w:rStyle w:val="FootnoteReference"/>
        </w:rPr>
        <w:footnoteRef/>
      </w:r>
      <w:r w:rsidRPr="00D71365">
        <w:rPr>
          <w:lang w:val="de-DE"/>
        </w:rPr>
        <w:t xml:space="preserve"> </w:t>
      </w:r>
      <w:r>
        <w:rPr>
          <w:lang w:val="de-DE"/>
        </w:rPr>
        <w:t xml:space="preserve">Ebd., 12. </w:t>
      </w:r>
    </w:p>
  </w:footnote>
  <w:footnote w:id="3">
    <w:p w:rsidR="002562CE" w:rsidRPr="00D374BF" w:rsidRDefault="002562CE" w:rsidP="00D374BF">
      <w:pPr>
        <w:rPr>
          <w:lang w:val="de-DE"/>
        </w:rPr>
      </w:pPr>
      <w:r>
        <w:rPr>
          <w:rStyle w:val="FootnoteReference"/>
        </w:rPr>
        <w:footnoteRef/>
      </w:r>
      <w:r w:rsidRPr="00D374BF">
        <w:rPr>
          <w:lang w:val="de-DE"/>
        </w:rPr>
        <w:t xml:space="preserve"> </w:t>
      </w:r>
      <w:r w:rsidRPr="00CB4532">
        <w:rPr>
          <w:b/>
          <w:lang w:val="de-DE"/>
        </w:rPr>
        <w:t>Wolfgang Krohn: Francis Bacon. München: Beck, 2006</w:t>
      </w:r>
      <w:r>
        <w:rPr>
          <w:b/>
          <w:lang w:val="de-DE"/>
        </w:rPr>
        <w:t xml:space="preserve">, 7. </w:t>
      </w:r>
      <w:r>
        <w:rPr>
          <w:lang w:val="de-DE"/>
        </w:rPr>
        <w:t xml:space="preserve">„Die Suche nach Naturerkenntnis muss auf das menschliche Handeln bezogen werden; denn die Wahrheit der Erkenntnis bemisst sich an der Herrschaft, die sie über die Natur ermöglicht.“ (9) </w:t>
      </w:r>
    </w:p>
  </w:footnote>
  <w:footnote w:id="4">
    <w:p w:rsidR="002562CE" w:rsidRPr="00AB7B08" w:rsidRDefault="002562CE" w:rsidP="00AB7B08">
      <w:pPr>
        <w:rPr>
          <w:lang w:val="de-DE"/>
        </w:rPr>
      </w:pPr>
      <w:r>
        <w:rPr>
          <w:rStyle w:val="FootnoteReference"/>
        </w:rPr>
        <w:footnoteRef/>
      </w:r>
      <w:r w:rsidRPr="00AB7B08">
        <w:rPr>
          <w:lang w:val="de-DE"/>
        </w:rPr>
        <w:t xml:space="preserve"> </w:t>
      </w:r>
      <w:r>
        <w:rPr>
          <w:lang w:val="de-DE"/>
        </w:rPr>
        <w:t xml:space="preserve">„Dafür zeugen nicht zuletzt Bacons eigene ambivalenten Stellungnahmen. So überrascht Bacon immer wieder mit dem Bekenntnis zu einem nutzenentlasteten Erkenntnisideal. […] Dass Bacon doch immer wieder als Utilitarist gilt, liegt an ebenso eindeutigen entgegengesetzten Äußerungen. In der ‚Distributio‘ verkündet er: ‚Es handelt sich hier nicht um eine bloße contemplative Glückseligkeit (felicitas contemplativa), sondern in Wahrheit um die Sache und das Glück der Menschen und um die Macht zu allen Werken‘ (I, 144 </w:t>
      </w:r>
      <w:r w:rsidRPr="002E7349">
        <w:rPr>
          <w:lang w:val="de-DE"/>
        </w:rPr>
        <w:t>=</w:t>
      </w:r>
      <w:r>
        <w:rPr>
          <w:lang w:val="de-DE"/>
        </w:rPr>
        <w:t xml:space="preserve"> IV, 32); und noch deutlicher im Vorwort zur ‚Instauratio Magna‘: ‚Schließlich will ich alle [90] und überall ermahnen, die wahren Ziele der Wissenschaft zu bedenken.‘ Nach Ablehnung verschiedener Ziele wie Macht, Ruhm, Freuden des Geistes heißt es unzweideutig: ‚Zur Wohltat und zum Nutzen des Lebens‘ (I, 132).“ (Krohn, 89-90)</w:t>
      </w:r>
    </w:p>
  </w:footnote>
  <w:footnote w:id="5">
    <w:p w:rsidR="002562CE" w:rsidRPr="00AB7B08" w:rsidRDefault="002562CE" w:rsidP="00AB7B08">
      <w:pPr>
        <w:rPr>
          <w:b/>
          <w:lang w:val="de-DE"/>
        </w:rPr>
      </w:pPr>
      <w:r>
        <w:rPr>
          <w:rStyle w:val="FootnoteReference"/>
        </w:rPr>
        <w:footnoteRef/>
      </w:r>
      <w:r w:rsidRPr="00AB7B08">
        <w:rPr>
          <w:lang w:val="de-DE"/>
        </w:rPr>
        <w:t xml:space="preserve"> </w:t>
      </w:r>
      <w:r w:rsidRPr="00563A45">
        <w:rPr>
          <w:b/>
          <w:lang w:val="de-DE"/>
        </w:rPr>
        <w:t>Auguste Comte: Rede über den Geist des Positivismus. Übersetzt, eingeleitet und herausgegeben von Iring Fetscher. Hamburg: Meiner, 1956</w:t>
      </w:r>
      <w:r>
        <w:rPr>
          <w:b/>
          <w:lang w:val="de-DE"/>
        </w:rPr>
        <w:t>, 65.</w:t>
      </w:r>
    </w:p>
  </w:footnote>
  <w:footnote w:id="6">
    <w:p w:rsidR="002562CE" w:rsidRPr="00AB7B08" w:rsidRDefault="002562CE">
      <w:pPr>
        <w:pStyle w:val="FootnoteText"/>
        <w:rPr>
          <w:lang w:val="de-DE"/>
        </w:rPr>
      </w:pPr>
      <w:r>
        <w:rPr>
          <w:rStyle w:val="FootnoteReference"/>
        </w:rPr>
        <w:footnoteRef/>
      </w:r>
      <w:r w:rsidRPr="00FC2E0F">
        <w:rPr>
          <w:lang w:val="de-DE"/>
        </w:rPr>
        <w:t xml:space="preserve"> </w:t>
      </w:r>
      <w:r>
        <w:rPr>
          <w:lang w:val="de-DE"/>
        </w:rPr>
        <w:t xml:space="preserve">Ebd., 67. </w:t>
      </w:r>
    </w:p>
  </w:footnote>
  <w:footnote w:id="7">
    <w:p w:rsidR="002562CE" w:rsidRPr="00AB7B08" w:rsidRDefault="002562CE">
      <w:pPr>
        <w:pStyle w:val="FootnoteText"/>
        <w:rPr>
          <w:lang w:val="de-DE"/>
        </w:rPr>
      </w:pPr>
      <w:r>
        <w:rPr>
          <w:rStyle w:val="FootnoteReference"/>
        </w:rPr>
        <w:footnoteRef/>
      </w:r>
      <w:r w:rsidRPr="00FC2E0F">
        <w:rPr>
          <w:lang w:val="de-DE"/>
        </w:rPr>
        <w:t xml:space="preserve"> </w:t>
      </w:r>
      <w:r>
        <w:rPr>
          <w:lang w:val="de-DE"/>
        </w:rPr>
        <w:t xml:space="preserve">Ebd., 67. </w:t>
      </w:r>
    </w:p>
  </w:footnote>
  <w:footnote w:id="8">
    <w:p w:rsidR="002562CE" w:rsidRDefault="002562CE" w:rsidP="00326855">
      <w:pPr>
        <w:rPr>
          <w:rFonts w:ascii="Calibri" w:hAnsi="Calibri" w:cs="Calibri"/>
          <w:lang w:val="de-DE"/>
        </w:rPr>
      </w:pPr>
      <w:r>
        <w:rPr>
          <w:rStyle w:val="FootnoteReference"/>
        </w:rPr>
        <w:footnoteRef/>
      </w:r>
      <w:r w:rsidRPr="00326855">
        <w:rPr>
          <w:lang w:val="de-DE"/>
        </w:rPr>
        <w:t xml:space="preserve"> </w:t>
      </w:r>
      <w:r>
        <w:rPr>
          <w:lang w:val="de-DE"/>
        </w:rPr>
        <w:t>Nikomachische Ethik: „</w:t>
      </w:r>
      <w:r>
        <w:rPr>
          <w:rFonts w:ascii="Calibri" w:hAnsi="Calibri" w:cs="Calibri"/>
          <w:lang w:val="de-DE"/>
        </w:rPr>
        <w:t>Wenn also die intuitive Vernunft im Vergleich mit dem Menschen göttlich ist, dann ist auch das Leben in der Betätigung dieser Vernunft göttlich im Vergleich mit dem menschlichen Leben.</w:t>
      </w:r>
    </w:p>
    <w:p w:rsidR="002562CE" w:rsidRPr="00326855" w:rsidRDefault="002562CE" w:rsidP="00326855">
      <w:pPr>
        <w:rPr>
          <w:rFonts w:ascii="Calibri" w:hAnsi="Calibri" w:cs="Calibri"/>
          <w:lang w:val="de-DE"/>
        </w:rPr>
      </w:pPr>
      <w:r>
        <w:rPr>
          <w:rFonts w:ascii="Calibri" w:hAnsi="Calibri" w:cs="Calibri"/>
          <w:lang w:val="de-DE"/>
        </w:rPr>
        <w:t>Doch darf man nicht denen folgen, die raten, man solle als Mensch an menschliche Dinge (</w:t>
      </w:r>
      <w:r w:rsidRPr="000233D1">
        <w:rPr>
          <w:rFonts w:ascii="Calibri" w:hAnsi="Calibri" w:cs="Calibri"/>
          <w:i/>
          <w:lang w:val="de-DE"/>
        </w:rPr>
        <w:t>anthrôpina</w:t>
      </w:r>
      <w:r>
        <w:rPr>
          <w:rFonts w:ascii="Calibri" w:hAnsi="Calibri" w:cs="Calibri"/>
          <w:i/>
          <w:lang w:val="de-DE"/>
        </w:rPr>
        <w:t xml:space="preserve">) </w:t>
      </w:r>
      <w:r>
        <w:rPr>
          <w:rFonts w:ascii="Calibri" w:hAnsi="Calibri" w:cs="Calibri"/>
          <w:lang w:val="de-DE"/>
        </w:rPr>
        <w:t>denken und als Sterblicher ans sterbliche. Vielmehr müssen wir uns, soweit wir es vermögen, unsterblich machen und alles tun, um in Übereinstimmung mit dem Höchsten in uns zu leben. Denn auch wenn dies klein im Umfang ist, überragt es doch alles umso mehr an Vermögen (</w:t>
      </w:r>
      <w:r w:rsidRPr="000233D1">
        <w:rPr>
          <w:rFonts w:ascii="Calibri" w:hAnsi="Calibri" w:cs="Calibri"/>
          <w:i/>
          <w:lang w:val="de-DE"/>
        </w:rPr>
        <w:t>dynamis</w:t>
      </w:r>
      <w:r>
        <w:rPr>
          <w:rFonts w:ascii="Calibri" w:hAnsi="Calibri" w:cs="Calibri"/>
          <w:lang w:val="de-DE"/>
        </w:rPr>
        <w:t>) und Wert (</w:t>
      </w:r>
      <w:r w:rsidRPr="000233D1">
        <w:rPr>
          <w:rFonts w:ascii="Calibri" w:hAnsi="Calibri" w:cs="Calibri"/>
          <w:i/>
          <w:lang w:val="de-DE"/>
        </w:rPr>
        <w:t>timiotês</w:t>
      </w:r>
      <w:r>
        <w:rPr>
          <w:rFonts w:ascii="Calibri" w:hAnsi="Calibri" w:cs="Calibri"/>
          <w:lang w:val="de-DE"/>
        </w:rPr>
        <w:t>).“ (330)</w:t>
      </w:r>
    </w:p>
  </w:footnote>
  <w:footnote w:id="9">
    <w:p w:rsidR="002562CE" w:rsidRPr="003C7051" w:rsidRDefault="002562CE" w:rsidP="003C7051">
      <w:pPr>
        <w:rPr>
          <w:lang w:val="de-DE"/>
        </w:rPr>
      </w:pPr>
      <w:r>
        <w:rPr>
          <w:rStyle w:val="FootnoteReference"/>
        </w:rPr>
        <w:footnoteRef/>
      </w:r>
      <w:r w:rsidRPr="003C7051">
        <w:rPr>
          <w:lang w:val="de-DE"/>
        </w:rPr>
        <w:t xml:space="preserve"> </w:t>
      </w:r>
      <w:r>
        <w:rPr>
          <w:lang w:val="de-DE"/>
        </w:rPr>
        <w:t xml:space="preserve">„Nicht nur müssen sich unsere positiven Forschungen überall im wesentlichen auf die systematische Beurteilung dessen was ist beschränken, indem sie darauf verzichten, seinen ersten Ursprung und seine letztliche Bestimmung zu entdecken“ (29) </w:t>
      </w:r>
    </w:p>
  </w:footnote>
  <w:footnote w:id="10">
    <w:p w:rsidR="002562CE" w:rsidRPr="001601E4" w:rsidRDefault="002562CE" w:rsidP="001601E4">
      <w:pPr>
        <w:rPr>
          <w:lang w:val="de-DE"/>
        </w:rPr>
      </w:pPr>
      <w:r>
        <w:rPr>
          <w:rStyle w:val="FootnoteReference"/>
        </w:rPr>
        <w:footnoteRef/>
      </w:r>
      <w:r w:rsidRPr="001601E4">
        <w:rPr>
          <w:lang w:val="de-DE"/>
        </w:rPr>
        <w:t xml:space="preserve"> </w:t>
      </w:r>
      <w:r>
        <w:rPr>
          <w:lang w:val="de-DE"/>
        </w:rPr>
        <w:t xml:space="preserve"> „Der Fluch des Goldes wird sich zeigen an diesen unfruchtbaren Mächten, die nicht gelernt haben, durch Arbeit diesen Fluch in Segen zu verwandeln. Der goldene Strom treibt die wirtschaftliche Mühle weiter. Das Kapital will verzinst sein, die Technik muß arbeiten, die Produktion geht unaufhaltsam ihren Gang. Die Naturkräfte arbeiten und leisten immer mehr, der Mensch rückt auf zum Wächter der eisernen Sklaven, er erstarkt und bricht die Mächte des unfreien, geistesdunkeln Mittelalters.“ (316) </w:t>
      </w:r>
    </w:p>
  </w:footnote>
  <w:footnote w:id="11">
    <w:p w:rsidR="002562CE" w:rsidRPr="00856657" w:rsidRDefault="002562CE" w:rsidP="00856657">
      <w:pPr>
        <w:rPr>
          <w:b/>
          <w:lang w:val="de-DE"/>
        </w:rPr>
      </w:pPr>
      <w:r>
        <w:rPr>
          <w:rStyle w:val="FootnoteReference"/>
        </w:rPr>
        <w:footnoteRef/>
      </w:r>
      <w:r w:rsidRPr="00856657">
        <w:rPr>
          <w:lang w:val="de-DE"/>
        </w:rPr>
        <w:t xml:space="preserve"> </w:t>
      </w:r>
      <w:r>
        <w:rPr>
          <w:lang w:val="de-DE"/>
        </w:rPr>
        <w:t xml:space="preserve"> „Man hat wohl gesagt: arbeiten ist soviel wert wie beten; es ist mehr wert denn beten, ja, die Arbeit ist sogar das wahre Gebet, die wahre menschliche Vorsehung. Laßt uns arbeiten anstatt zu beten.“ (</w:t>
      </w:r>
      <w:r w:rsidRPr="00551CDD">
        <w:rPr>
          <w:lang w:val="de-DE"/>
        </w:rPr>
        <w:t>J. M. Guyau: Sittlichkeit ohne „Pflicht“ (Esquisse d’une Morales ans Obligation ni Sanction). Ins Deutsche übersetzt von Elisabeth Schwarz. Leipzig: Verlag von Dr. Werner Klinkhardt,</w:t>
      </w:r>
      <w:r>
        <w:rPr>
          <w:b/>
          <w:lang w:val="de-DE"/>
        </w:rPr>
        <w:t xml:space="preserve"> </w:t>
      </w:r>
      <w:r>
        <w:rPr>
          <w:lang w:val="de-DE"/>
        </w:rPr>
        <w:t xml:space="preserve">277) </w:t>
      </w:r>
    </w:p>
  </w:footnote>
  <w:footnote w:id="12">
    <w:p w:rsidR="002562CE" w:rsidRPr="00FC2E0F" w:rsidRDefault="002562CE" w:rsidP="001601E4">
      <w:pPr>
        <w:rPr>
          <w:b/>
          <w:lang w:val="en-CA"/>
        </w:rPr>
      </w:pPr>
      <w:r>
        <w:rPr>
          <w:rStyle w:val="FootnoteReference"/>
        </w:rPr>
        <w:footnoteRef/>
      </w:r>
      <w:r w:rsidRPr="00551CDD">
        <w:rPr>
          <w:lang w:val="de-DE"/>
        </w:rPr>
        <w:t xml:space="preserve"> </w:t>
      </w:r>
      <w:r w:rsidRPr="009E33A0">
        <w:rPr>
          <w:b/>
          <w:lang w:val="de-DE"/>
        </w:rPr>
        <w:t>Hermann Broch:</w:t>
      </w:r>
      <w:r>
        <w:rPr>
          <w:b/>
          <w:lang w:val="de-DE"/>
        </w:rPr>
        <w:t xml:space="preserve"> Theologie, Positivismus und Dichtung</w:t>
      </w:r>
      <w:r w:rsidRPr="009E33A0">
        <w:rPr>
          <w:b/>
          <w:lang w:val="de-DE"/>
        </w:rPr>
        <w:t>. In: Philosophische Schriften 1. Kritik. Frankfurt am Main: Suhrkamp, 1977,</w:t>
      </w:r>
      <w:r>
        <w:rPr>
          <w:b/>
          <w:lang w:val="de-DE"/>
        </w:rPr>
        <w:t xml:space="preserve"> 191-239:</w:t>
      </w:r>
      <w:r>
        <w:rPr>
          <w:lang w:val="de-DE"/>
        </w:rPr>
        <w:t xml:space="preserve"> „Was Zola dabei ein wenig lächerlich macht, ist, daß er in einer Zeit der dümmsten Philosophie, nämlich in der materialistischen Antiphilosophie der nach-hegelschen Periode, lebte und sich solcherart zum Sprecher dieser Ungeistigkeit oder zumindest zu ihrem Reflex machte.“ </w:t>
      </w:r>
      <w:r w:rsidRPr="00FC2E0F">
        <w:rPr>
          <w:lang w:val="en-CA"/>
        </w:rPr>
        <w:t xml:space="preserve">(231) </w:t>
      </w:r>
    </w:p>
  </w:footnote>
  <w:footnote w:id="13">
    <w:p w:rsidR="002562CE" w:rsidRPr="00DB5820" w:rsidRDefault="002562CE" w:rsidP="00E25F1A">
      <w:pPr>
        <w:rPr>
          <w:b/>
          <w:lang w:val="en-CA"/>
        </w:rPr>
      </w:pPr>
      <w:r>
        <w:rPr>
          <w:rStyle w:val="FootnoteReference"/>
        </w:rPr>
        <w:footnoteRef/>
      </w:r>
      <w:r>
        <w:t xml:space="preserve"> </w:t>
      </w:r>
      <w:r w:rsidRPr="00DB5820">
        <w:rPr>
          <w:b/>
          <w:lang w:val="en-CA"/>
        </w:rPr>
        <w:t xml:space="preserve">M.K. Gandhi: An autobiography or the story of my experiments with truth. New Haven: Yale University Press, 2018. </w:t>
      </w:r>
    </w:p>
    <w:p w:rsidR="002562CE" w:rsidRDefault="002562CE" w:rsidP="00E25F1A">
      <w:pPr>
        <w:rPr>
          <w:lang w:val="en-CA"/>
        </w:rPr>
      </w:pPr>
      <w:r>
        <w:rPr>
          <w:lang w:val="en-CA"/>
        </w:rPr>
        <w:t xml:space="preserve">“Three moderns have left a deep impress on my life, and captivated me: </w:t>
      </w:r>
      <w:proofErr w:type="spellStart"/>
      <w:r>
        <w:rPr>
          <w:lang w:val="en-CA"/>
        </w:rPr>
        <w:t>Raychandbhai</w:t>
      </w:r>
      <w:proofErr w:type="spellEnd"/>
      <w:r>
        <w:rPr>
          <w:lang w:val="en-CA"/>
        </w:rPr>
        <w:t xml:space="preserve"> by his living contact; Tolstoy by his book, </w:t>
      </w:r>
      <w:r w:rsidRPr="00DB5820">
        <w:rPr>
          <w:i/>
          <w:lang w:val="en-CA"/>
        </w:rPr>
        <w:t>The Kingdom of Love Is within You</w:t>
      </w:r>
      <w:r>
        <w:rPr>
          <w:lang w:val="en-CA"/>
        </w:rPr>
        <w:t xml:space="preserve">; and Ruskin by his </w:t>
      </w:r>
      <w:r w:rsidRPr="00DB5820">
        <w:rPr>
          <w:i/>
          <w:lang w:val="en-CA"/>
        </w:rPr>
        <w:t>Unto This Last</w:t>
      </w:r>
      <w:r>
        <w:rPr>
          <w:lang w:val="en-CA"/>
        </w:rPr>
        <w:t>.”</w:t>
      </w:r>
    </w:p>
    <w:p w:rsidR="002562CE" w:rsidRDefault="002562CE" w:rsidP="00E25F1A">
      <w:pPr>
        <w:rPr>
          <w:lang w:val="en-CA"/>
        </w:rPr>
      </w:pPr>
      <w:r>
        <w:rPr>
          <w:lang w:val="en-CA"/>
        </w:rPr>
        <w:t>“Tolstoy’s The Kingdom of God Is within You overwhelmed me. It left an abiding impression on me. Before the independent thinking, profound morality, and the truthfulness of this book, all the books given me by Mr. Coates seemed to pale into insignificance.” (243)</w:t>
      </w:r>
    </w:p>
    <w:p w:rsidR="002562CE" w:rsidRPr="00FC2E0F" w:rsidRDefault="002562CE" w:rsidP="00E25F1A">
      <w:pPr>
        <w:rPr>
          <w:lang w:val="de-DE"/>
        </w:rPr>
      </w:pPr>
      <w:r>
        <w:rPr>
          <w:lang w:val="en-CA"/>
        </w:rPr>
        <w:t xml:space="preserve">“I made too an intensive study of Tolstoy’s books. </w:t>
      </w:r>
      <w:r w:rsidRPr="00EA3D3D">
        <w:rPr>
          <w:i/>
          <w:lang w:val="en-CA"/>
        </w:rPr>
        <w:t>The Gospels in Brief</w:t>
      </w:r>
      <w:r>
        <w:rPr>
          <w:lang w:val="en-CA"/>
        </w:rPr>
        <w:t xml:space="preserve">, </w:t>
      </w:r>
      <w:r w:rsidRPr="00EA3D3D">
        <w:rPr>
          <w:i/>
          <w:lang w:val="en-CA"/>
        </w:rPr>
        <w:t>What to Do?</w:t>
      </w:r>
      <w:r>
        <w:rPr>
          <w:lang w:val="en-CA"/>
        </w:rPr>
        <w:t xml:space="preserve"> and other books [275] made a deep impression on me. I began to realize more and more </w:t>
      </w:r>
      <w:r w:rsidRPr="00EA3D3D">
        <w:rPr>
          <w:i/>
          <w:lang w:val="en-CA"/>
        </w:rPr>
        <w:t>the infinite possibilities of love</w:t>
      </w:r>
      <w:r>
        <w:rPr>
          <w:lang w:val="en-CA"/>
        </w:rPr>
        <w:t xml:space="preserve">.” </w:t>
      </w:r>
      <w:r w:rsidRPr="00FC2E0F">
        <w:rPr>
          <w:lang w:val="de-DE"/>
        </w:rPr>
        <w:t>(274-275)</w:t>
      </w:r>
    </w:p>
    <w:p w:rsidR="002562CE" w:rsidRPr="00FC2E0F" w:rsidRDefault="002562CE">
      <w:pPr>
        <w:pStyle w:val="FootnoteText"/>
        <w:rPr>
          <w:lang w:val="de-DE"/>
        </w:rPr>
      </w:pPr>
    </w:p>
  </w:footnote>
  <w:footnote w:id="14">
    <w:p w:rsidR="002562CE" w:rsidRPr="00817CF3" w:rsidRDefault="002562CE" w:rsidP="00817CF3">
      <w:pPr>
        <w:rPr>
          <w:lang w:val="de-DE"/>
        </w:rPr>
      </w:pPr>
      <w:r>
        <w:rPr>
          <w:rStyle w:val="FootnoteReference"/>
        </w:rPr>
        <w:footnoteRef/>
      </w:r>
      <w:r w:rsidRPr="00817CF3">
        <w:rPr>
          <w:lang w:val="de-DE"/>
        </w:rPr>
        <w:t xml:space="preserve"> </w:t>
      </w:r>
      <w:r>
        <w:rPr>
          <w:lang w:val="de-DE"/>
        </w:rPr>
        <w:t>An S.L. Tolstoi und T.L. Suchotina, 1. November 1910, Sergej Lwowitsch Graf Tolstoi (1863-1947), ältester Sohn Tolstois (Serjosha) und Tatjana Lwowna Suchotima, geborene Gräfin Tolstaja (1864-1950), älteste Tochter Tolstois (Tanja); „das ist der letzte vollständige Brief Tolstois, den er noch selber unterschrieb“ (727)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037732"/>
    <w:multiLevelType w:val="hybridMultilevel"/>
    <w:tmpl w:val="38D48CBE"/>
    <w:lvl w:ilvl="0" w:tplc="F86A9AE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FB04C1C"/>
    <w:multiLevelType w:val="hybridMultilevel"/>
    <w:tmpl w:val="09DC9D08"/>
    <w:lvl w:ilvl="0" w:tplc="0002B11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B26"/>
    <w:rsid w:val="000342D7"/>
    <w:rsid w:val="0004142C"/>
    <w:rsid w:val="00067543"/>
    <w:rsid w:val="000D360C"/>
    <w:rsid w:val="001231ED"/>
    <w:rsid w:val="001401F5"/>
    <w:rsid w:val="00146B7F"/>
    <w:rsid w:val="001601E4"/>
    <w:rsid w:val="00186E30"/>
    <w:rsid w:val="001E7B98"/>
    <w:rsid w:val="001F6890"/>
    <w:rsid w:val="00233083"/>
    <w:rsid w:val="002562CE"/>
    <w:rsid w:val="00280BF1"/>
    <w:rsid w:val="002E2467"/>
    <w:rsid w:val="002E61DF"/>
    <w:rsid w:val="002F6924"/>
    <w:rsid w:val="003004B7"/>
    <w:rsid w:val="00326855"/>
    <w:rsid w:val="0033718A"/>
    <w:rsid w:val="003431BB"/>
    <w:rsid w:val="00381F0E"/>
    <w:rsid w:val="00395CDE"/>
    <w:rsid w:val="003C7051"/>
    <w:rsid w:val="003E6F93"/>
    <w:rsid w:val="004328E1"/>
    <w:rsid w:val="00477F42"/>
    <w:rsid w:val="00484BEC"/>
    <w:rsid w:val="00490365"/>
    <w:rsid w:val="004C7429"/>
    <w:rsid w:val="004E27BA"/>
    <w:rsid w:val="00515DA7"/>
    <w:rsid w:val="00527EEF"/>
    <w:rsid w:val="005309FD"/>
    <w:rsid w:val="0053268F"/>
    <w:rsid w:val="00551CDD"/>
    <w:rsid w:val="0055526E"/>
    <w:rsid w:val="00562A10"/>
    <w:rsid w:val="005C2409"/>
    <w:rsid w:val="005F7396"/>
    <w:rsid w:val="00600EF1"/>
    <w:rsid w:val="00635244"/>
    <w:rsid w:val="006403E5"/>
    <w:rsid w:val="00687795"/>
    <w:rsid w:val="00690478"/>
    <w:rsid w:val="006A5619"/>
    <w:rsid w:val="006B51E8"/>
    <w:rsid w:val="006D17E5"/>
    <w:rsid w:val="006E0AF6"/>
    <w:rsid w:val="006E45BE"/>
    <w:rsid w:val="00713E0B"/>
    <w:rsid w:val="00774290"/>
    <w:rsid w:val="00786949"/>
    <w:rsid w:val="00817CF3"/>
    <w:rsid w:val="00856657"/>
    <w:rsid w:val="008636B5"/>
    <w:rsid w:val="008E22FD"/>
    <w:rsid w:val="00905C6C"/>
    <w:rsid w:val="00916AAC"/>
    <w:rsid w:val="0093386C"/>
    <w:rsid w:val="00997FE1"/>
    <w:rsid w:val="009C3553"/>
    <w:rsid w:val="009F14EE"/>
    <w:rsid w:val="00A40D99"/>
    <w:rsid w:val="00A47D3D"/>
    <w:rsid w:val="00A542D7"/>
    <w:rsid w:val="00A65E4D"/>
    <w:rsid w:val="00A8416C"/>
    <w:rsid w:val="00AB7B08"/>
    <w:rsid w:val="00AD1D6C"/>
    <w:rsid w:val="00B3015D"/>
    <w:rsid w:val="00B633D5"/>
    <w:rsid w:val="00B82C18"/>
    <w:rsid w:val="00BD7444"/>
    <w:rsid w:val="00BE6AFF"/>
    <w:rsid w:val="00C02EA7"/>
    <w:rsid w:val="00C10876"/>
    <w:rsid w:val="00C5222E"/>
    <w:rsid w:val="00C63588"/>
    <w:rsid w:val="00C65453"/>
    <w:rsid w:val="00CC1EA1"/>
    <w:rsid w:val="00D04050"/>
    <w:rsid w:val="00D34724"/>
    <w:rsid w:val="00D36AB7"/>
    <w:rsid w:val="00D374BF"/>
    <w:rsid w:val="00D5784F"/>
    <w:rsid w:val="00D71365"/>
    <w:rsid w:val="00D77AC9"/>
    <w:rsid w:val="00DC4591"/>
    <w:rsid w:val="00DF1570"/>
    <w:rsid w:val="00E25F1A"/>
    <w:rsid w:val="00E2788B"/>
    <w:rsid w:val="00EC6B26"/>
    <w:rsid w:val="00EF378D"/>
    <w:rsid w:val="00F041FB"/>
    <w:rsid w:val="00F142B8"/>
    <w:rsid w:val="00F14525"/>
    <w:rsid w:val="00F170A5"/>
    <w:rsid w:val="00F44BEB"/>
    <w:rsid w:val="00F5250B"/>
    <w:rsid w:val="00F57142"/>
    <w:rsid w:val="00F61324"/>
    <w:rsid w:val="00F733CB"/>
    <w:rsid w:val="00FB782B"/>
    <w:rsid w:val="00FC2E0F"/>
    <w:rsid w:val="00FD4F39"/>
    <w:rsid w:val="00FE1B72"/>
    <w:rsid w:val="00FF3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C51DC722-C7F1-8F4B-BB11-14176C7DB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22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5222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453"/>
    <w:pPr>
      <w:ind w:left="720"/>
      <w:contextualSpacing/>
    </w:pPr>
  </w:style>
  <w:style w:type="paragraph" w:styleId="FootnoteText">
    <w:name w:val="footnote text"/>
    <w:basedOn w:val="Normal"/>
    <w:link w:val="FootnoteTextChar"/>
    <w:uiPriority w:val="99"/>
    <w:semiHidden/>
    <w:unhideWhenUsed/>
    <w:rsid w:val="00D374BF"/>
    <w:rPr>
      <w:sz w:val="20"/>
      <w:szCs w:val="20"/>
    </w:rPr>
  </w:style>
  <w:style w:type="character" w:customStyle="1" w:styleId="FootnoteTextChar">
    <w:name w:val="Footnote Text Char"/>
    <w:basedOn w:val="DefaultParagraphFont"/>
    <w:link w:val="FootnoteText"/>
    <w:uiPriority w:val="99"/>
    <w:semiHidden/>
    <w:rsid w:val="00D374BF"/>
    <w:rPr>
      <w:sz w:val="20"/>
      <w:szCs w:val="20"/>
    </w:rPr>
  </w:style>
  <w:style w:type="character" w:styleId="FootnoteReference">
    <w:name w:val="footnote reference"/>
    <w:basedOn w:val="DefaultParagraphFont"/>
    <w:uiPriority w:val="99"/>
    <w:semiHidden/>
    <w:unhideWhenUsed/>
    <w:rsid w:val="00D374BF"/>
    <w:rPr>
      <w:vertAlign w:val="superscript"/>
    </w:rPr>
  </w:style>
  <w:style w:type="paragraph" w:styleId="NormalWeb">
    <w:name w:val="Normal (Web)"/>
    <w:basedOn w:val="Normal"/>
    <w:uiPriority w:val="99"/>
    <w:semiHidden/>
    <w:unhideWhenUsed/>
    <w:rsid w:val="00233083"/>
    <w:pPr>
      <w:spacing w:before="100" w:beforeAutospacing="1" w:after="100" w:afterAutospacing="1"/>
    </w:pPr>
    <w:rPr>
      <w:rFonts w:ascii="Times New Roman" w:eastAsia="Times New Roman" w:hAnsi="Times New Roman" w:cs="Times New Roman"/>
      <w:lang w:val="en-CA"/>
    </w:rPr>
  </w:style>
  <w:style w:type="character" w:customStyle="1" w:styleId="Heading1Char">
    <w:name w:val="Heading 1 Char"/>
    <w:basedOn w:val="DefaultParagraphFont"/>
    <w:link w:val="Heading1"/>
    <w:uiPriority w:val="9"/>
    <w:rsid w:val="00C5222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5222E"/>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FC2E0F"/>
    <w:pPr>
      <w:spacing w:line="259" w:lineRule="auto"/>
      <w:outlineLvl w:val="9"/>
    </w:pPr>
  </w:style>
  <w:style w:type="paragraph" w:styleId="TOC1">
    <w:name w:val="toc 1"/>
    <w:basedOn w:val="Normal"/>
    <w:next w:val="Normal"/>
    <w:autoRedefine/>
    <w:uiPriority w:val="39"/>
    <w:unhideWhenUsed/>
    <w:rsid w:val="00FC2E0F"/>
    <w:pPr>
      <w:spacing w:after="100"/>
    </w:pPr>
  </w:style>
  <w:style w:type="paragraph" w:styleId="TOC2">
    <w:name w:val="toc 2"/>
    <w:basedOn w:val="Normal"/>
    <w:next w:val="Normal"/>
    <w:autoRedefine/>
    <w:uiPriority w:val="39"/>
    <w:unhideWhenUsed/>
    <w:rsid w:val="00FC2E0F"/>
    <w:pPr>
      <w:spacing w:after="100"/>
      <w:ind w:left="240"/>
    </w:pPr>
  </w:style>
  <w:style w:type="character" w:styleId="Hyperlink">
    <w:name w:val="Hyperlink"/>
    <w:basedOn w:val="DefaultParagraphFont"/>
    <w:uiPriority w:val="99"/>
    <w:unhideWhenUsed/>
    <w:rsid w:val="00FC2E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363046">
      <w:bodyDiv w:val="1"/>
      <w:marLeft w:val="0"/>
      <w:marRight w:val="0"/>
      <w:marTop w:val="0"/>
      <w:marBottom w:val="0"/>
      <w:divBdr>
        <w:top w:val="none" w:sz="0" w:space="0" w:color="auto"/>
        <w:left w:val="none" w:sz="0" w:space="0" w:color="auto"/>
        <w:bottom w:val="none" w:sz="0" w:space="0" w:color="auto"/>
        <w:right w:val="none" w:sz="0" w:space="0" w:color="auto"/>
      </w:divBdr>
    </w:div>
    <w:div w:id="1399667475">
      <w:bodyDiv w:val="1"/>
      <w:marLeft w:val="0"/>
      <w:marRight w:val="0"/>
      <w:marTop w:val="0"/>
      <w:marBottom w:val="0"/>
      <w:divBdr>
        <w:top w:val="none" w:sz="0" w:space="0" w:color="auto"/>
        <w:left w:val="none" w:sz="0" w:space="0" w:color="auto"/>
        <w:bottom w:val="none" w:sz="0" w:space="0" w:color="auto"/>
        <w:right w:val="none" w:sz="0" w:space="0" w:color="auto"/>
      </w:divBdr>
      <w:divsChild>
        <w:div w:id="2027948633">
          <w:marLeft w:val="0"/>
          <w:marRight w:val="0"/>
          <w:marTop w:val="0"/>
          <w:marBottom w:val="0"/>
          <w:divBdr>
            <w:top w:val="none" w:sz="0" w:space="0" w:color="auto"/>
            <w:left w:val="none" w:sz="0" w:space="0" w:color="auto"/>
            <w:bottom w:val="none" w:sz="0" w:space="0" w:color="auto"/>
            <w:right w:val="none" w:sz="0" w:space="0" w:color="auto"/>
          </w:divBdr>
          <w:divsChild>
            <w:div w:id="7027789">
              <w:marLeft w:val="0"/>
              <w:marRight w:val="0"/>
              <w:marTop w:val="0"/>
              <w:marBottom w:val="0"/>
              <w:divBdr>
                <w:top w:val="none" w:sz="0" w:space="0" w:color="auto"/>
                <w:left w:val="none" w:sz="0" w:space="0" w:color="auto"/>
                <w:bottom w:val="none" w:sz="0" w:space="0" w:color="auto"/>
                <w:right w:val="none" w:sz="0" w:space="0" w:color="auto"/>
              </w:divBdr>
              <w:divsChild>
                <w:div w:id="51118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2375">
          <w:marLeft w:val="0"/>
          <w:marRight w:val="0"/>
          <w:marTop w:val="0"/>
          <w:marBottom w:val="0"/>
          <w:divBdr>
            <w:top w:val="none" w:sz="0" w:space="0" w:color="auto"/>
            <w:left w:val="none" w:sz="0" w:space="0" w:color="auto"/>
            <w:bottom w:val="none" w:sz="0" w:space="0" w:color="auto"/>
            <w:right w:val="none" w:sz="0" w:space="0" w:color="auto"/>
          </w:divBdr>
          <w:divsChild>
            <w:div w:id="1724982757">
              <w:marLeft w:val="0"/>
              <w:marRight w:val="0"/>
              <w:marTop w:val="0"/>
              <w:marBottom w:val="0"/>
              <w:divBdr>
                <w:top w:val="none" w:sz="0" w:space="0" w:color="auto"/>
                <w:left w:val="none" w:sz="0" w:space="0" w:color="auto"/>
                <w:bottom w:val="none" w:sz="0" w:space="0" w:color="auto"/>
                <w:right w:val="none" w:sz="0" w:space="0" w:color="auto"/>
              </w:divBdr>
              <w:divsChild>
                <w:div w:id="207762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663164">
      <w:bodyDiv w:val="1"/>
      <w:marLeft w:val="0"/>
      <w:marRight w:val="0"/>
      <w:marTop w:val="0"/>
      <w:marBottom w:val="0"/>
      <w:divBdr>
        <w:top w:val="none" w:sz="0" w:space="0" w:color="auto"/>
        <w:left w:val="none" w:sz="0" w:space="0" w:color="auto"/>
        <w:bottom w:val="none" w:sz="0" w:space="0" w:color="auto"/>
        <w:right w:val="none" w:sz="0" w:space="0" w:color="auto"/>
      </w:divBdr>
      <w:divsChild>
        <w:div w:id="2107074674">
          <w:marLeft w:val="0"/>
          <w:marRight w:val="0"/>
          <w:marTop w:val="0"/>
          <w:marBottom w:val="0"/>
          <w:divBdr>
            <w:top w:val="none" w:sz="0" w:space="0" w:color="auto"/>
            <w:left w:val="none" w:sz="0" w:space="0" w:color="auto"/>
            <w:bottom w:val="none" w:sz="0" w:space="0" w:color="auto"/>
            <w:right w:val="none" w:sz="0" w:space="0" w:color="auto"/>
          </w:divBdr>
          <w:divsChild>
            <w:div w:id="238373806">
              <w:marLeft w:val="0"/>
              <w:marRight w:val="0"/>
              <w:marTop w:val="0"/>
              <w:marBottom w:val="0"/>
              <w:divBdr>
                <w:top w:val="none" w:sz="0" w:space="0" w:color="auto"/>
                <w:left w:val="none" w:sz="0" w:space="0" w:color="auto"/>
                <w:bottom w:val="none" w:sz="0" w:space="0" w:color="auto"/>
                <w:right w:val="none" w:sz="0" w:space="0" w:color="auto"/>
              </w:divBdr>
              <w:divsChild>
                <w:div w:id="29576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439016">
          <w:marLeft w:val="0"/>
          <w:marRight w:val="0"/>
          <w:marTop w:val="0"/>
          <w:marBottom w:val="0"/>
          <w:divBdr>
            <w:top w:val="none" w:sz="0" w:space="0" w:color="auto"/>
            <w:left w:val="none" w:sz="0" w:space="0" w:color="auto"/>
            <w:bottom w:val="none" w:sz="0" w:space="0" w:color="auto"/>
            <w:right w:val="none" w:sz="0" w:space="0" w:color="auto"/>
          </w:divBdr>
          <w:divsChild>
            <w:div w:id="136263369">
              <w:marLeft w:val="0"/>
              <w:marRight w:val="0"/>
              <w:marTop w:val="0"/>
              <w:marBottom w:val="0"/>
              <w:divBdr>
                <w:top w:val="none" w:sz="0" w:space="0" w:color="auto"/>
                <w:left w:val="none" w:sz="0" w:space="0" w:color="auto"/>
                <w:bottom w:val="none" w:sz="0" w:space="0" w:color="auto"/>
                <w:right w:val="none" w:sz="0" w:space="0" w:color="auto"/>
              </w:divBdr>
              <w:divsChild>
                <w:div w:id="30076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Latein"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wikipedia.org/wiki/Kontempl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Prin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wikipedia.org/wiki/Erkenntnis" TargetMode="External"/><Relationship Id="rId4" Type="http://schemas.openxmlformats.org/officeDocument/2006/relationships/settings" Target="settings.xml"/><Relationship Id="rId9" Type="http://schemas.openxmlformats.org/officeDocument/2006/relationships/hyperlink" Target="https://de.wikipedia.org/wiki/Philosoph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1B533-DE6C-4937-9C6C-3941B8B8E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26</Pages>
  <Words>10283</Words>
  <Characters>58618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Ehrensperger, Florian</cp:lastModifiedBy>
  <cp:revision>13</cp:revision>
  <dcterms:created xsi:type="dcterms:W3CDTF">2020-02-06T17:00:00Z</dcterms:created>
  <dcterms:modified xsi:type="dcterms:W3CDTF">2020-02-06T22:13:00Z</dcterms:modified>
</cp:coreProperties>
</file>