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B832E" w14:textId="77777777" w:rsidR="006A41F3" w:rsidRPr="001D4197" w:rsidRDefault="004A259E" w:rsidP="001D4197">
      <w:pPr>
        <w:spacing w:line="360" w:lineRule="auto"/>
        <w:rPr>
          <w:b/>
          <w:lang w:val="de-DE"/>
        </w:rPr>
      </w:pPr>
      <w:r w:rsidRPr="001D4197">
        <w:rPr>
          <w:b/>
          <w:lang w:val="de-DE"/>
        </w:rPr>
        <w:t xml:space="preserve">Nachwort </w:t>
      </w:r>
    </w:p>
    <w:p w14:paraId="13D444C5" w14:textId="77777777" w:rsidR="004A259E" w:rsidRDefault="004A259E" w:rsidP="001D4197">
      <w:pPr>
        <w:spacing w:line="360" w:lineRule="auto"/>
        <w:rPr>
          <w:lang w:val="de-DE"/>
        </w:rPr>
      </w:pPr>
    </w:p>
    <w:p w14:paraId="5AEB0443" w14:textId="24288004" w:rsidR="00257F0E" w:rsidRDefault="00E309AF" w:rsidP="001D4197">
      <w:pPr>
        <w:spacing w:line="360" w:lineRule="auto"/>
        <w:rPr>
          <w:lang w:val="de-DE"/>
        </w:rPr>
      </w:pPr>
      <w:r>
        <w:rPr>
          <w:lang w:val="de-DE"/>
        </w:rPr>
        <w:t xml:space="preserve">Zolas Begeisterung für die Arbeit war so groß, </w:t>
      </w:r>
      <w:proofErr w:type="spellStart"/>
      <w:r>
        <w:rPr>
          <w:lang w:val="de-DE"/>
        </w:rPr>
        <w:t>daß</w:t>
      </w:r>
      <w:proofErr w:type="spellEnd"/>
      <w:r>
        <w:rPr>
          <w:lang w:val="de-DE"/>
        </w:rPr>
        <w:t xml:space="preserve"> er ihr einen ganzen Roman widmete. </w:t>
      </w:r>
      <w:r w:rsidR="00803DC0">
        <w:rPr>
          <w:lang w:val="de-DE"/>
        </w:rPr>
        <w:t>Auf 600 Seiten singt er i</w:t>
      </w:r>
      <w:r w:rsidR="001E34D3">
        <w:rPr>
          <w:lang w:val="de-DE"/>
        </w:rPr>
        <w:t xml:space="preserve">n </w:t>
      </w:r>
      <w:r w:rsidR="006F1376">
        <w:rPr>
          <w:lang w:val="de-DE"/>
        </w:rPr>
        <w:t xml:space="preserve">seiner Utopie </w:t>
      </w:r>
      <w:r w:rsidR="001E34D3" w:rsidRPr="001E34D3">
        <w:rPr>
          <w:i/>
          <w:lang w:val="de-DE"/>
        </w:rPr>
        <w:t>Arbeit</w:t>
      </w:r>
      <w:r w:rsidR="001E34D3">
        <w:rPr>
          <w:lang w:val="de-DE"/>
        </w:rPr>
        <w:t xml:space="preserve"> Hosianna „</w:t>
      </w:r>
      <w:r w:rsidR="001E34D3" w:rsidRPr="00A56862">
        <w:rPr>
          <w:lang w:val="de-DE"/>
        </w:rPr>
        <w:t>der erlösenden Arbeit, der einzigen Wahrheit, der höchsten Glückseligkeit, der Gesundheit, dem Frieden!</w:t>
      </w:r>
      <w:r w:rsidR="001E34D3">
        <w:rPr>
          <w:lang w:val="de-DE"/>
        </w:rPr>
        <w:t>‘“</w:t>
      </w:r>
      <w:r w:rsidR="001E34D3">
        <w:rPr>
          <w:rStyle w:val="FootnoteReference"/>
          <w:lang w:val="de-DE"/>
        </w:rPr>
        <w:footnoteReference w:id="1"/>
      </w:r>
      <w:r w:rsidR="006F1376">
        <w:rPr>
          <w:lang w:val="de-DE"/>
        </w:rPr>
        <w:t xml:space="preserve"> Er wünscht, „</w:t>
      </w:r>
      <w:proofErr w:type="spellStart"/>
      <w:r w:rsidR="006F1376" w:rsidRPr="00A56862">
        <w:rPr>
          <w:lang w:val="de-DE"/>
        </w:rPr>
        <w:t>daß</w:t>
      </w:r>
      <w:proofErr w:type="spellEnd"/>
      <w:r w:rsidR="006F1376" w:rsidRPr="00A56862">
        <w:rPr>
          <w:lang w:val="de-DE"/>
        </w:rPr>
        <w:t xml:space="preserve"> endlich die Religion der Arbeit zur Menschenreligion werde</w:t>
      </w:r>
      <w:r w:rsidR="006F1376">
        <w:rPr>
          <w:lang w:val="de-DE"/>
        </w:rPr>
        <w:t>“</w:t>
      </w:r>
      <w:r w:rsidR="006F1376">
        <w:rPr>
          <w:rStyle w:val="FootnoteReference"/>
          <w:lang w:val="de-DE"/>
        </w:rPr>
        <w:footnoteReference w:id="2"/>
      </w:r>
      <w:r w:rsidR="006F1376">
        <w:rPr>
          <w:lang w:val="de-DE"/>
        </w:rPr>
        <w:t xml:space="preserve">. Damit es auch jeder mitbekam, dass es sich hierbei um eine programmatische Schrift handelte, nannte er den Zyklus, in welchem </w:t>
      </w:r>
      <w:r w:rsidR="006F1376" w:rsidRPr="006F1376">
        <w:rPr>
          <w:i/>
          <w:lang w:val="de-DE"/>
        </w:rPr>
        <w:t>Arbeit</w:t>
      </w:r>
      <w:r w:rsidR="006F1376">
        <w:rPr>
          <w:lang w:val="de-DE"/>
        </w:rPr>
        <w:t xml:space="preserve"> erschien, </w:t>
      </w:r>
      <w:r w:rsidR="006F1376" w:rsidRPr="006F1376">
        <w:rPr>
          <w:i/>
          <w:lang w:val="de-DE"/>
        </w:rPr>
        <w:t>Die vier Evangelien</w:t>
      </w:r>
      <w:r w:rsidR="006F1376">
        <w:rPr>
          <w:lang w:val="de-DE"/>
        </w:rPr>
        <w:t>, der Held des Buches ist ein Ingenieur mit Namen Lukas. Wer das Hohelied des industriellen Lebens des Positivismus erwartet, wird nicht enttäuscht. Lukas gelingt es mit Hilfe des Wissenschaftlers Jourdain, die Stadt der Arbeit</w:t>
      </w:r>
      <w:r w:rsidR="00803DC0">
        <w:rPr>
          <w:lang w:val="de-DE"/>
        </w:rPr>
        <w:t xml:space="preserve"> namens </w:t>
      </w:r>
      <w:proofErr w:type="spellStart"/>
      <w:r w:rsidR="00803DC0">
        <w:rPr>
          <w:lang w:val="de-DE"/>
        </w:rPr>
        <w:t>Beauclair</w:t>
      </w:r>
      <w:proofErr w:type="spellEnd"/>
      <w:r w:rsidR="00803DC0">
        <w:rPr>
          <w:lang w:val="de-DE"/>
        </w:rPr>
        <w:t xml:space="preserve"> in einen Hort der Glückseligkeit und des Wohlstandes zu verwandeln. </w:t>
      </w:r>
      <w:r w:rsidR="00257F0E">
        <w:rPr>
          <w:lang w:val="de-DE"/>
        </w:rPr>
        <w:t xml:space="preserve">Dem Wissenschaftler und Techniker Jourdain gelingt sein Lebenswerk: </w:t>
      </w:r>
      <w:r w:rsidR="00803DC0">
        <w:rPr>
          <w:lang w:val="de-DE"/>
        </w:rPr>
        <w:t>nachhaltige</w:t>
      </w:r>
      <w:r w:rsidR="00257F0E">
        <w:rPr>
          <w:lang w:val="de-DE"/>
        </w:rPr>
        <w:t xml:space="preserve"> Solarenergie, welche Fabriken, Maschinen, Bibliotheken, Laboratorien und Autos mit Energie speist. Die Stadt, so Zola, gleicht einem Bienenkorb. </w:t>
      </w:r>
    </w:p>
    <w:p w14:paraId="594CF1DF" w14:textId="77E7D2D2" w:rsidR="00257F0E" w:rsidRDefault="00257F0E" w:rsidP="001D4197">
      <w:pPr>
        <w:spacing w:line="360" w:lineRule="auto"/>
        <w:rPr>
          <w:lang w:val="de-DE"/>
        </w:rPr>
      </w:pPr>
    </w:p>
    <w:p w14:paraId="1AF26D3B" w14:textId="04A76F45" w:rsidR="00257F0E" w:rsidRDefault="00803DC0" w:rsidP="001D4197">
      <w:pPr>
        <w:spacing w:line="360" w:lineRule="auto"/>
        <w:rPr>
          <w:lang w:val="de-DE"/>
        </w:rPr>
      </w:pPr>
      <w:r>
        <w:rPr>
          <w:lang w:val="de-DE"/>
        </w:rPr>
        <w:t xml:space="preserve">So arbeitet die Bevölkerung stetig und emsig und trägt zum Fortschritt bei, bis eines Tages die Maschinen die Arbeit übernommen haben. </w:t>
      </w:r>
      <w:r>
        <w:rPr>
          <w:lang w:val="de-DE"/>
        </w:rPr>
        <w:t>Die Maschine, so Zola, war „die Befreierin, die zum Universalwerkzeug geworden war und die sich für den Menschen mühte, während er sich ausruhte.“</w:t>
      </w:r>
      <w:r>
        <w:rPr>
          <w:rStyle w:val="FootnoteReference"/>
          <w:lang w:val="de-DE"/>
        </w:rPr>
        <w:footnoteReference w:id="3"/>
      </w:r>
      <w:r>
        <w:rPr>
          <w:lang w:val="de-DE"/>
        </w:rPr>
        <w:t xml:space="preserve"> Das klingt doch eher nach </w:t>
      </w:r>
      <w:proofErr w:type="spellStart"/>
      <w:r>
        <w:rPr>
          <w:lang w:val="de-DE"/>
        </w:rPr>
        <w:t>Lafargue</w:t>
      </w:r>
      <w:proofErr w:type="spellEnd"/>
      <w:r>
        <w:rPr>
          <w:lang w:val="de-DE"/>
        </w:rPr>
        <w:t xml:space="preserve"> als nach einem Apologeten von Fouriers Recht auf Arbeit. </w:t>
      </w:r>
      <w:r w:rsidRPr="000D490A">
        <w:rPr>
          <w:lang w:val="de-DE"/>
        </w:rPr>
        <w:t>“Wie angenehm war jetzt die Arbeit, wie leicht und köstlich! Sie dauerte bloß einige Stunden täglich und bestand nur noch in der Überwachung der mächtigen, wunderbar gebauten Maschinen</w:t>
      </w:r>
      <w:r>
        <w:rPr>
          <w:lang w:val="de-DE"/>
        </w:rPr>
        <w:t>“</w:t>
      </w:r>
      <w:r>
        <w:rPr>
          <w:rStyle w:val="FootnoteReference"/>
          <w:lang w:val="de-DE"/>
        </w:rPr>
        <w:footnoteReference w:id="4"/>
      </w:r>
      <w:r>
        <w:rPr>
          <w:lang w:val="de-DE"/>
        </w:rPr>
        <w:t xml:space="preserve">. </w:t>
      </w:r>
      <w:r w:rsidR="00257F0E">
        <w:rPr>
          <w:lang w:val="de-DE"/>
        </w:rPr>
        <w:t>Für einen Augenblick wundert sich der Leser bei der Betrachtung der Utopie: was passiert eigentlich, wenn durch die Arbeit aller der allgemeine Wohlstand ausgebrochen ist? Gibt es einen Zustand, in welchem es keinen Fortschritt mehr gibt?</w:t>
      </w:r>
      <w:r>
        <w:rPr>
          <w:lang w:val="de-DE"/>
        </w:rPr>
        <w:t xml:space="preserve"> Dem Leser mögen solche und Gedanken kommen, und Zola tritt eiligst solchen Interpretationen </w:t>
      </w:r>
      <w:r>
        <w:rPr>
          <w:lang w:val="de-DE"/>
        </w:rPr>
        <w:lastRenderedPageBreak/>
        <w:t xml:space="preserve">entgegen. Wandelt sich die Stadt der Arbeit in einen kollektiven Freizeitpark? Nichts liegt ihm ferner. </w:t>
      </w:r>
    </w:p>
    <w:p w14:paraId="7DCFE218" w14:textId="4E024AE5" w:rsidR="00257F0E" w:rsidRDefault="00257F0E" w:rsidP="001D4197">
      <w:pPr>
        <w:spacing w:line="360" w:lineRule="auto"/>
        <w:rPr>
          <w:lang w:val="de-DE"/>
        </w:rPr>
      </w:pPr>
    </w:p>
    <w:p w14:paraId="24456375" w14:textId="1E53FBC1" w:rsidR="00257F0E" w:rsidRPr="009F4C94" w:rsidRDefault="00257F0E" w:rsidP="00803DC0">
      <w:pPr>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und Stumpfsinn versinken würde. Die Sehnsucht, das Ideal wird immer grenzenlos bleiben, es wird immer noch Unbekanntes zu erobern geben. Aus jedem erfüllten Wunsche wird immer eine neue Begierde entstehen, und das Streben, ihr zu genügen, wird die Menschen immer wieder befeuern und sie zu Helden der Wissenschaft und Kunst machen.</w:t>
      </w:r>
      <w:r>
        <w:rPr>
          <w:lang w:val="de-DE"/>
        </w:rPr>
        <w:t>“</w:t>
      </w:r>
      <w:r w:rsidR="00803DC0">
        <w:rPr>
          <w:rStyle w:val="FootnoteReference"/>
          <w:lang w:val="de-DE"/>
        </w:rPr>
        <w:footnoteReference w:id="5"/>
      </w:r>
      <w:r>
        <w:rPr>
          <w:lang w:val="de-DE"/>
        </w:rPr>
        <w:t xml:space="preserve"> </w:t>
      </w:r>
    </w:p>
    <w:p w14:paraId="49001C2A" w14:textId="56C8F970" w:rsidR="00257F0E" w:rsidRDefault="00257F0E" w:rsidP="001D4197">
      <w:pPr>
        <w:spacing w:line="360" w:lineRule="auto"/>
        <w:rPr>
          <w:lang w:val="de-DE"/>
        </w:rPr>
      </w:pPr>
    </w:p>
    <w:p w14:paraId="220DF00F" w14:textId="4FD73E15" w:rsidR="0096503D" w:rsidRPr="000D490A" w:rsidRDefault="00803DC0" w:rsidP="001D4197">
      <w:pPr>
        <w:spacing w:line="360" w:lineRule="auto"/>
        <w:rPr>
          <w:lang w:val="de-DE"/>
        </w:rPr>
      </w:pPr>
      <w:r>
        <w:rPr>
          <w:lang w:val="de-DE"/>
        </w:rPr>
        <w:t xml:space="preserve">Was machen die Menschen in der Stadt der Arbeit mit seiner freien Zeit? Sie eilen in die Bibliotheken und Laboratorien, denn Fortschritt gibt es niemals genug: </w:t>
      </w:r>
      <w:r w:rsidR="0096503D">
        <w:rPr>
          <w:lang w:val="de-DE"/>
        </w:rPr>
        <w:t>„</w:t>
      </w:r>
      <w:r w:rsidR="0096503D" w:rsidRPr="000D490A">
        <w:rPr>
          <w:lang w:val="de-DE"/>
        </w:rPr>
        <w:t xml:space="preserve">In den Laboratorien, die jedermann für Experimente offenstanden, verging fast keine Woche, ohne </w:t>
      </w:r>
      <w:proofErr w:type="spellStart"/>
      <w:r w:rsidR="0096503D" w:rsidRPr="000D490A">
        <w:rPr>
          <w:lang w:val="de-DE"/>
        </w:rPr>
        <w:t>daß</w:t>
      </w:r>
      <w:proofErr w:type="spellEnd"/>
      <w:r w:rsidR="0096503D" w:rsidRPr="000D490A">
        <w:rPr>
          <w:lang w:val="de-DE"/>
        </w:rPr>
        <w:t xml:space="preserve"> eine wertvolle Entdeckung gemacht worden wäre.</w:t>
      </w:r>
      <w:r w:rsidR="0096503D">
        <w:rPr>
          <w:lang w:val="de-DE"/>
        </w:rPr>
        <w:t>“</w:t>
      </w:r>
      <w:r>
        <w:rPr>
          <w:rStyle w:val="FootnoteReference"/>
          <w:lang w:val="de-DE"/>
        </w:rPr>
        <w:footnoteReference w:id="6"/>
      </w:r>
    </w:p>
    <w:p w14:paraId="77162BD4" w14:textId="289C64AB" w:rsidR="0096503D" w:rsidRDefault="0096503D" w:rsidP="001D4197">
      <w:pPr>
        <w:spacing w:line="360" w:lineRule="auto"/>
        <w:rPr>
          <w:lang w:val="de-DE"/>
        </w:rPr>
      </w:pPr>
    </w:p>
    <w:p w14:paraId="45D0B0C9" w14:textId="3CDBFD3B" w:rsidR="00257F0E" w:rsidRDefault="00803DC0" w:rsidP="001D4197">
      <w:pPr>
        <w:spacing w:line="360" w:lineRule="auto"/>
        <w:rPr>
          <w:lang w:val="de-DE"/>
        </w:rPr>
      </w:pPr>
      <w:r>
        <w:rPr>
          <w:lang w:val="de-DE"/>
        </w:rPr>
        <w:t xml:space="preserve">Ist das eine Bedürfnis befriedigt, so wartet das nächste schon. Aus </w:t>
      </w:r>
      <w:r w:rsidR="002B2459">
        <w:rPr>
          <w:lang w:val="de-DE"/>
        </w:rPr>
        <w:t>programmatischen</w:t>
      </w:r>
      <w:r>
        <w:rPr>
          <w:lang w:val="de-DE"/>
        </w:rPr>
        <w:t xml:space="preserve"> Gründen dürfen Bedürfnisse niemals aufhören</w:t>
      </w:r>
      <w:bookmarkStart w:id="0" w:name="_GoBack"/>
      <w:bookmarkEnd w:id="0"/>
      <w:r>
        <w:rPr>
          <w:lang w:val="de-DE"/>
        </w:rPr>
        <w:t xml:space="preserve">. </w:t>
      </w:r>
      <w:r w:rsidR="00257F0E">
        <w:rPr>
          <w:lang w:val="de-DE"/>
        </w:rPr>
        <w:t xml:space="preserve">Der Mensch als Gefangener einer endlosen Bedürfnis-Befriedigungs-Schleife. Und wem das nicht zusagte, hielt Zola noch ein anderes Argument bereit: die Arbeit würde betäuben, so dass er sich nicht mit der müßigen Frage nach dem Woher und Wohin seiner Existenz abmühen müsse. </w:t>
      </w:r>
    </w:p>
    <w:p w14:paraId="3835F2C8" w14:textId="017757C8" w:rsidR="009C6E81" w:rsidRDefault="009C6E81" w:rsidP="001D4197">
      <w:pPr>
        <w:spacing w:line="360" w:lineRule="auto"/>
        <w:rPr>
          <w:lang w:val="de-DE"/>
        </w:rPr>
      </w:pPr>
    </w:p>
    <w:p w14:paraId="5A6F3E24" w14:textId="4F37F748" w:rsidR="009C6E81" w:rsidRDefault="009C6E81" w:rsidP="001D4197">
      <w:pPr>
        <w:spacing w:line="360" w:lineRule="auto"/>
        <w:rPr>
          <w:lang w:val="de-DE"/>
        </w:rPr>
      </w:pPr>
      <w:r>
        <w:rPr>
          <w:lang w:val="de-DE"/>
        </w:rPr>
        <w:t xml:space="preserve">Zola leugnet die Probleme nicht, welche seine Zeitgenossen, vor allem die Jugend an der Universität, an der Fortschrittsideologie der Positivisten zweifeln lassen. Aber anstatt einer Umkehr, predigt er das Weitermachen. Fortschritt ist kumulativ </w:t>
      </w:r>
      <w:r w:rsidR="00314F80">
        <w:rPr>
          <w:lang w:val="de-DE"/>
        </w:rPr>
        <w:t xml:space="preserve">und baut auf der Affirmation des Bestehenden auf </w:t>
      </w:r>
      <w:r>
        <w:rPr>
          <w:lang w:val="de-DE"/>
        </w:rPr>
        <w:t>– was Tolstoi im Sinn hat, ist revolutionär</w:t>
      </w:r>
      <w:r w:rsidR="00314F80">
        <w:rPr>
          <w:lang w:val="de-DE"/>
        </w:rPr>
        <w:t xml:space="preserve"> und wahrer Wandel</w:t>
      </w:r>
      <w:r>
        <w:rPr>
          <w:lang w:val="de-DE"/>
        </w:rPr>
        <w:t>.</w:t>
      </w:r>
      <w:r>
        <w:rPr>
          <w:rStyle w:val="FootnoteReference"/>
          <w:lang w:val="de-DE"/>
        </w:rPr>
        <w:footnoteReference w:id="7"/>
      </w:r>
      <w:r>
        <w:rPr>
          <w:lang w:val="de-DE"/>
        </w:rPr>
        <w:t xml:space="preserve"> </w:t>
      </w:r>
    </w:p>
    <w:p w14:paraId="15C696AA" w14:textId="7E8EA456" w:rsidR="009C6E81" w:rsidRDefault="009C6E81" w:rsidP="001D4197">
      <w:pPr>
        <w:spacing w:line="360" w:lineRule="auto"/>
        <w:rPr>
          <w:lang w:val="de-DE"/>
        </w:rPr>
      </w:pPr>
    </w:p>
    <w:p w14:paraId="0A9290A7" w14:textId="6615FB0D" w:rsidR="00834B64" w:rsidRDefault="009C6E81" w:rsidP="001D4197">
      <w:pPr>
        <w:spacing w:line="360" w:lineRule="auto"/>
        <w:rPr>
          <w:lang w:val="de-DE"/>
        </w:rPr>
      </w:pPr>
      <w:r>
        <w:rPr>
          <w:lang w:val="de-DE"/>
        </w:rPr>
        <w:t xml:space="preserve">Tolstoi </w:t>
      </w:r>
      <w:r w:rsidR="000B2A67">
        <w:rPr>
          <w:lang w:val="de-DE"/>
        </w:rPr>
        <w:t xml:space="preserve">fordert uns durch </w:t>
      </w:r>
      <w:proofErr w:type="spellStart"/>
      <w:r w:rsidR="000B2A67">
        <w:rPr>
          <w:lang w:val="de-DE"/>
        </w:rPr>
        <w:t>Nichttun</w:t>
      </w:r>
      <w:proofErr w:type="spellEnd"/>
      <w:r w:rsidR="000B2A67">
        <w:rPr>
          <w:lang w:val="de-DE"/>
        </w:rPr>
        <w:t xml:space="preserve"> zur Umkehr auf</w:t>
      </w:r>
      <w:r>
        <w:rPr>
          <w:lang w:val="de-DE"/>
        </w:rPr>
        <w:t xml:space="preserve">. </w:t>
      </w:r>
      <w:r w:rsidR="000B2A67">
        <w:rPr>
          <w:lang w:val="de-DE"/>
        </w:rPr>
        <w:t xml:space="preserve">Dabei können folgende Formen des </w:t>
      </w:r>
      <w:proofErr w:type="spellStart"/>
      <w:r w:rsidR="000B2A67">
        <w:rPr>
          <w:lang w:val="de-DE"/>
        </w:rPr>
        <w:t>Nichttun</w:t>
      </w:r>
      <w:proofErr w:type="spellEnd"/>
      <w:r w:rsidR="000B2A67">
        <w:rPr>
          <w:lang w:val="de-DE"/>
        </w:rPr>
        <w:t xml:space="preserve"> unterschieden werden: </w:t>
      </w:r>
    </w:p>
    <w:p w14:paraId="33C40427" w14:textId="77777777" w:rsidR="000B2A67" w:rsidRDefault="000B2A67" w:rsidP="001D4197">
      <w:pPr>
        <w:spacing w:line="360" w:lineRule="auto"/>
        <w:rPr>
          <w:lang w:val="de-DE"/>
        </w:rPr>
      </w:pPr>
    </w:p>
    <w:p w14:paraId="01E00977" w14:textId="77777777" w:rsidR="000B2A67" w:rsidRDefault="000B2A67" w:rsidP="001D4197">
      <w:pPr>
        <w:spacing w:line="360" w:lineRule="auto"/>
        <w:rPr>
          <w:lang w:val="de-DE"/>
        </w:rPr>
      </w:pPr>
      <w:r>
        <w:rPr>
          <w:lang w:val="de-DE"/>
        </w:rPr>
        <w:t xml:space="preserve">(1) </w:t>
      </w:r>
      <w:proofErr w:type="spellStart"/>
      <w:r w:rsidRPr="002728A4">
        <w:rPr>
          <w:i/>
          <w:lang w:val="de-DE"/>
        </w:rPr>
        <w:t>Nichttun</w:t>
      </w:r>
      <w:proofErr w:type="spellEnd"/>
      <w:r w:rsidRPr="002728A4">
        <w:rPr>
          <w:i/>
          <w:lang w:val="de-DE"/>
        </w:rPr>
        <w:t xml:space="preserve"> als Einhalten und Besinnen</w:t>
      </w:r>
      <w:r w:rsidR="00E15ED8">
        <w:rPr>
          <w:lang w:val="de-DE"/>
        </w:rPr>
        <w:t xml:space="preserve">: </w:t>
      </w:r>
      <w:r w:rsidR="002728A4">
        <w:rPr>
          <w:lang w:val="de-DE"/>
        </w:rPr>
        <w:t xml:space="preserve">besonders prägnant hat dies die englische Übersetzung von Tolstois Das </w:t>
      </w:r>
      <w:proofErr w:type="spellStart"/>
      <w:r w:rsidR="002728A4">
        <w:rPr>
          <w:lang w:val="de-DE"/>
        </w:rPr>
        <w:t>Nichttun</w:t>
      </w:r>
      <w:proofErr w:type="spellEnd"/>
      <w:r w:rsidR="002728A4">
        <w:rPr>
          <w:lang w:val="de-DE"/>
        </w:rPr>
        <w:t xml:space="preserve"> auf den Punkt gebracht, im Englischen heißt die Schrift: </w:t>
      </w:r>
      <w:proofErr w:type="spellStart"/>
      <w:r w:rsidR="002728A4">
        <w:rPr>
          <w:lang w:val="de-DE"/>
        </w:rPr>
        <w:t>Stop</w:t>
      </w:r>
      <w:proofErr w:type="spellEnd"/>
      <w:r w:rsidR="002728A4">
        <w:rPr>
          <w:lang w:val="de-DE"/>
        </w:rPr>
        <w:t xml:space="preserve"> </w:t>
      </w:r>
      <w:proofErr w:type="spellStart"/>
      <w:r w:rsidR="002728A4">
        <w:rPr>
          <w:lang w:val="de-DE"/>
        </w:rPr>
        <w:t>and</w:t>
      </w:r>
      <w:proofErr w:type="spellEnd"/>
      <w:r w:rsidR="002728A4">
        <w:rPr>
          <w:lang w:val="de-DE"/>
        </w:rPr>
        <w:t xml:space="preserve"> Think! Oder wie er es in Bezugnahme auf die christliche Tradition in seiner Schrift Haltet ein und besinnet euch formuliert hat: </w:t>
      </w:r>
      <w:r w:rsidR="002728A4" w:rsidRPr="007B55A2">
        <w:rPr>
          <w:lang w:val="de-DE"/>
        </w:rPr>
        <w:t>„Christus hat gesagt: Besinnet Euch. Das heißt: jeder Mensch halte still in seiner Tätigkeit und frage sich: Wer bist Du, woher kommst Du, was ist Deine Bestimmung?“</w:t>
      </w:r>
      <w:r w:rsidR="002728A4" w:rsidRPr="007B55A2">
        <w:rPr>
          <w:rStyle w:val="FootnoteReference"/>
          <w:lang w:val="de-DE"/>
        </w:rPr>
        <w:footnoteReference w:id="8"/>
      </w:r>
    </w:p>
    <w:p w14:paraId="0AD7BDAD" w14:textId="77777777" w:rsidR="002C49FD" w:rsidRDefault="002C49FD" w:rsidP="001D4197">
      <w:pPr>
        <w:spacing w:line="360" w:lineRule="auto"/>
        <w:rPr>
          <w:lang w:val="de-DE"/>
        </w:rPr>
      </w:pPr>
    </w:p>
    <w:p w14:paraId="1194461B" w14:textId="77777777" w:rsidR="002C49FD" w:rsidRDefault="000B2A67" w:rsidP="001D4197">
      <w:pPr>
        <w:spacing w:line="360" w:lineRule="auto"/>
        <w:rPr>
          <w:lang w:val="de-DE"/>
        </w:rPr>
      </w:pPr>
      <w:r>
        <w:rPr>
          <w:lang w:val="de-DE"/>
        </w:rPr>
        <w:t xml:space="preserve">(2) </w:t>
      </w:r>
      <w:proofErr w:type="spellStart"/>
      <w:r w:rsidRPr="002728A4">
        <w:rPr>
          <w:i/>
          <w:lang w:val="de-DE"/>
        </w:rPr>
        <w:t>Nichttun</w:t>
      </w:r>
      <w:proofErr w:type="spellEnd"/>
      <w:r w:rsidRPr="002728A4">
        <w:rPr>
          <w:i/>
          <w:lang w:val="de-DE"/>
        </w:rPr>
        <w:t xml:space="preserve"> als </w:t>
      </w:r>
      <w:proofErr w:type="spellStart"/>
      <w:r w:rsidRPr="002728A4">
        <w:rPr>
          <w:i/>
          <w:lang w:val="de-DE"/>
        </w:rPr>
        <w:t>Gewährenlassen</w:t>
      </w:r>
      <w:proofErr w:type="spellEnd"/>
      <w:r w:rsidR="002728A4">
        <w:rPr>
          <w:lang w:val="de-DE"/>
        </w:rPr>
        <w:t xml:space="preserve">: Der taoistische Weise zeichnet sich durch die Tugend des </w:t>
      </w:r>
      <w:proofErr w:type="spellStart"/>
      <w:r w:rsidR="002728A4">
        <w:rPr>
          <w:lang w:val="de-DE"/>
        </w:rPr>
        <w:t>Nichttun</w:t>
      </w:r>
      <w:proofErr w:type="spellEnd"/>
      <w:r w:rsidR="002728A4">
        <w:rPr>
          <w:lang w:val="de-DE"/>
        </w:rPr>
        <w:t xml:space="preserve"> aus. </w:t>
      </w:r>
      <w:r w:rsidR="002C49FD">
        <w:rPr>
          <w:lang w:val="de-DE"/>
        </w:rPr>
        <w:t xml:space="preserve">Im Taoismus steht </w:t>
      </w:r>
      <w:r w:rsidR="002C49FD" w:rsidRPr="00367775">
        <w:rPr>
          <w:i/>
          <w:lang w:val="de-DE"/>
        </w:rPr>
        <w:t>wu wei</w:t>
      </w:r>
      <w:r w:rsidR="002C49FD">
        <w:rPr>
          <w:lang w:val="de-DE"/>
        </w:rPr>
        <w:t xml:space="preserve"> für die Vorstellung, das eigene Eingreifen in die Welt zurückzunehmen und das </w:t>
      </w:r>
      <w:r w:rsidR="002C49FD" w:rsidRPr="00732DE0">
        <w:rPr>
          <w:i/>
          <w:lang w:val="de-DE"/>
        </w:rPr>
        <w:t>Tao</w:t>
      </w:r>
      <w:r w:rsidR="002C49FD">
        <w:rPr>
          <w:lang w:val="de-DE"/>
        </w:rPr>
        <w:t xml:space="preserve"> wirken und geschehen zu lassen. Im Deutschen wurde </w:t>
      </w:r>
      <w:r w:rsidR="002C49FD" w:rsidRPr="00367775">
        <w:rPr>
          <w:i/>
          <w:lang w:val="de-DE"/>
        </w:rPr>
        <w:t>wu wei</w:t>
      </w:r>
      <w:r w:rsidR="002C49FD">
        <w:rPr>
          <w:lang w:val="de-DE"/>
        </w:rPr>
        <w:t xml:space="preserve"> unter anderem mit Nicht-Tun, Ohne-Tun, Nicht-Handeln, Nicht-Eingreifen, Regungslosigkeit, Inaktivität, Zweckfreiheit, Handlungsenthaltung und Stillstellung des Handelns</w:t>
      </w:r>
      <w:r w:rsidR="002C49FD">
        <w:rPr>
          <w:rStyle w:val="FootnoteReference"/>
          <w:lang w:val="de-DE"/>
        </w:rPr>
        <w:footnoteReference w:id="9"/>
      </w:r>
      <w:r w:rsidR="002C49FD">
        <w:rPr>
          <w:lang w:val="de-DE"/>
        </w:rPr>
        <w:t xml:space="preserve"> wiedergegeben. Das Prinzip </w:t>
      </w:r>
      <w:r w:rsidR="002C49FD" w:rsidRPr="00367775">
        <w:rPr>
          <w:i/>
          <w:lang w:val="de-DE"/>
        </w:rPr>
        <w:t>wu wei</w:t>
      </w:r>
      <w:r w:rsidR="002C49FD">
        <w:rPr>
          <w:lang w:val="de-DE"/>
        </w:rPr>
        <w:t xml:space="preserve"> drückt die Opposition menschliches Handeln und kosmisches Geschehen aus: nur wer sich selbst als Teil der kosmischen Kräfte, als Teil des Universums versteht, und versucht, „so vollkommen wie möglich im Einklange mit dem unendlichen All zu leben“</w:t>
      </w:r>
      <w:r w:rsidR="002C49FD" w:rsidRPr="00655F82">
        <w:rPr>
          <w:rStyle w:val="FootnoteReference"/>
          <w:b/>
          <w:lang w:val="de-DE"/>
        </w:rPr>
        <w:t xml:space="preserve"> </w:t>
      </w:r>
      <w:r w:rsidR="002C49FD">
        <w:rPr>
          <w:rStyle w:val="FootnoteReference"/>
          <w:b/>
          <w:lang w:val="de-DE"/>
        </w:rPr>
        <w:footnoteReference w:id="10"/>
      </w:r>
      <w:r w:rsidR="002C49FD">
        <w:rPr>
          <w:lang w:val="de-DE"/>
        </w:rPr>
        <w:t xml:space="preserve">, lebt tugendhaft. Das </w:t>
      </w:r>
      <w:r w:rsidR="002C49FD" w:rsidRPr="00732DE0">
        <w:rPr>
          <w:i/>
          <w:lang w:val="de-DE"/>
        </w:rPr>
        <w:t>Tao</w:t>
      </w:r>
      <w:r w:rsidR="002C49FD">
        <w:rPr>
          <w:lang w:val="de-DE"/>
        </w:rPr>
        <w:t>, der Weg, ist die „Weltordnung“</w:t>
      </w:r>
      <w:r w:rsidR="002C49FD">
        <w:rPr>
          <w:rStyle w:val="FootnoteReference"/>
          <w:lang w:val="de-DE"/>
        </w:rPr>
        <w:footnoteReference w:id="11"/>
      </w:r>
      <w:r w:rsidR="002C49FD">
        <w:rPr>
          <w:lang w:val="de-DE"/>
        </w:rPr>
        <w:t xml:space="preserve"> und daher gilt es, „</w:t>
      </w:r>
      <w:proofErr w:type="spellStart"/>
      <w:r w:rsidR="002C49FD">
        <w:rPr>
          <w:lang w:val="de-DE"/>
        </w:rPr>
        <w:t>daß</w:t>
      </w:r>
      <w:proofErr w:type="spellEnd"/>
      <w:r w:rsidR="002C49FD">
        <w:rPr>
          <w:lang w:val="de-DE"/>
        </w:rPr>
        <w:t xml:space="preserve"> der Mensch sich und sein Benehmen dem </w:t>
      </w:r>
      <w:r w:rsidR="002C49FD" w:rsidRPr="00C144FA">
        <w:rPr>
          <w:i/>
          <w:lang w:val="de-DE"/>
        </w:rPr>
        <w:t>Tao</w:t>
      </w:r>
      <w:r w:rsidR="002C49FD">
        <w:rPr>
          <w:lang w:val="de-DE"/>
        </w:rPr>
        <w:t xml:space="preserve"> des Weltalls und dessen Eigenschaften anpassen soll.“</w:t>
      </w:r>
      <w:r w:rsidR="002C49FD">
        <w:rPr>
          <w:rStyle w:val="FootnoteReference"/>
          <w:lang w:val="de-DE"/>
        </w:rPr>
        <w:footnoteReference w:id="12"/>
      </w:r>
      <w:r w:rsidR="002C49FD">
        <w:rPr>
          <w:lang w:val="de-DE"/>
        </w:rPr>
        <w:t xml:space="preserve"> </w:t>
      </w:r>
    </w:p>
    <w:p w14:paraId="00524362" w14:textId="77777777" w:rsidR="002C49FD" w:rsidRDefault="002C49FD" w:rsidP="001D4197">
      <w:pPr>
        <w:spacing w:line="360" w:lineRule="auto"/>
        <w:rPr>
          <w:lang w:val="de-DE"/>
        </w:rPr>
      </w:pPr>
      <w:r>
        <w:rPr>
          <w:lang w:val="de-DE"/>
        </w:rPr>
        <w:lastRenderedPageBreak/>
        <w:t xml:space="preserve">liegt mit </w:t>
      </w:r>
      <w:r w:rsidRPr="00367775">
        <w:rPr>
          <w:i/>
          <w:lang w:val="de-DE"/>
        </w:rPr>
        <w:t>wu wei</w:t>
      </w:r>
      <w:r>
        <w:rPr>
          <w:lang w:val="de-DE"/>
        </w:rPr>
        <w:t xml:space="preserve"> die Vorstellung vor, sich durch Sich-Enthalten zu öffnen für das „</w:t>
      </w:r>
      <w:proofErr w:type="spellStart"/>
      <w:r>
        <w:rPr>
          <w:lang w:val="de-DE"/>
        </w:rPr>
        <w:t>Wirkenlassen</w:t>
      </w:r>
      <w:proofErr w:type="spellEnd"/>
      <w:r>
        <w:rPr>
          <w:lang w:val="de-DE"/>
        </w:rPr>
        <w:t xml:space="preserve"> des ‚Weges‘ in der eigenen Persönlichkeit.“</w:t>
      </w:r>
      <w:r>
        <w:rPr>
          <w:rStyle w:val="FootnoteReference"/>
          <w:lang w:val="de-DE"/>
        </w:rPr>
        <w:footnoteReference w:id="13"/>
      </w:r>
      <w:r>
        <w:rPr>
          <w:lang w:val="de-DE"/>
        </w:rPr>
        <w:t xml:space="preserve"> Es ist das </w:t>
      </w:r>
      <w:proofErr w:type="spellStart"/>
      <w:r>
        <w:rPr>
          <w:lang w:val="de-DE"/>
        </w:rPr>
        <w:t>Gewährenlassen</w:t>
      </w:r>
      <w:proofErr w:type="spellEnd"/>
      <w:r>
        <w:rPr>
          <w:lang w:val="de-DE"/>
        </w:rPr>
        <w:t xml:space="preserve"> des Wirkens eines höheren Prinzips. Die Natur gewähren lassen, minimal invasiv sein.</w:t>
      </w:r>
    </w:p>
    <w:p w14:paraId="6EEFB910" w14:textId="77777777" w:rsidR="002C49FD" w:rsidRDefault="002C49FD" w:rsidP="001D4197">
      <w:pPr>
        <w:spacing w:line="360" w:lineRule="auto"/>
        <w:rPr>
          <w:lang w:val="de-DE"/>
        </w:rPr>
      </w:pPr>
    </w:p>
    <w:p w14:paraId="7D9B94AE" w14:textId="77777777" w:rsidR="002C49FD" w:rsidRPr="00EC6393" w:rsidRDefault="000B2A67" w:rsidP="001D4197">
      <w:pPr>
        <w:spacing w:line="360" w:lineRule="auto"/>
        <w:rPr>
          <w:b/>
          <w:lang w:val="de-DE"/>
        </w:rPr>
      </w:pPr>
      <w:r>
        <w:rPr>
          <w:lang w:val="de-DE"/>
        </w:rPr>
        <w:t xml:space="preserve">(3) </w:t>
      </w:r>
      <w:proofErr w:type="spellStart"/>
      <w:r w:rsidRPr="002728A4">
        <w:rPr>
          <w:i/>
          <w:lang w:val="de-DE"/>
        </w:rPr>
        <w:t>Nichttun</w:t>
      </w:r>
      <w:proofErr w:type="spellEnd"/>
      <w:r w:rsidRPr="002728A4">
        <w:rPr>
          <w:i/>
          <w:lang w:val="de-DE"/>
        </w:rPr>
        <w:t xml:space="preserve"> als Unterlassen</w:t>
      </w:r>
      <w:r w:rsidR="002728A4">
        <w:rPr>
          <w:i/>
          <w:lang w:val="de-DE"/>
        </w:rPr>
        <w:t xml:space="preserve"> I</w:t>
      </w:r>
      <w:r>
        <w:rPr>
          <w:lang w:val="de-DE"/>
        </w:rPr>
        <w:t xml:space="preserve">: </w:t>
      </w:r>
      <w:r w:rsidR="002C49FD">
        <w:rPr>
          <w:lang w:val="de-DE"/>
        </w:rPr>
        <w:t xml:space="preserve">das </w:t>
      </w:r>
      <w:proofErr w:type="spellStart"/>
      <w:r w:rsidR="002C49FD">
        <w:rPr>
          <w:lang w:val="de-DE"/>
        </w:rPr>
        <w:t>nicht</w:t>
      </w:r>
      <w:proofErr w:type="spellEnd"/>
      <w:r w:rsidR="002C49FD">
        <w:rPr>
          <w:lang w:val="de-DE"/>
        </w:rPr>
        <w:t xml:space="preserve"> zu tun, </w:t>
      </w:r>
      <w:r>
        <w:rPr>
          <w:lang w:val="de-DE"/>
        </w:rPr>
        <w:t>was nicht getan werden darf</w:t>
      </w:r>
      <w:r w:rsidR="002C49FD">
        <w:rPr>
          <w:lang w:val="de-DE"/>
        </w:rPr>
        <w:t xml:space="preserve">. In seiner Schrift Das Reich Gottes hatte er von den Geboten der Bergpredigt als negativen gesprochen, welche anzeigen, was der Mensch auf einer höheren Stufe der Entwicklung fähig ist, nicht mehr zu tun. Hierzu gehört auch die Forderung, auf jegliche Form von Gewaltanwendung zu verzichten, nicht jedoch auf politischen Kampf. Hierzu gehört auch seine Lehre von der </w:t>
      </w:r>
      <w:r>
        <w:rPr>
          <w:lang w:val="de-DE"/>
        </w:rPr>
        <w:t>Gehorsamsverweigerung</w:t>
      </w:r>
      <w:r w:rsidR="002C49FD">
        <w:rPr>
          <w:lang w:val="de-DE"/>
        </w:rPr>
        <w:t xml:space="preserve">. Gandhi war wohl einer </w:t>
      </w:r>
      <w:proofErr w:type="gramStart"/>
      <w:r w:rsidR="002C49FD">
        <w:rPr>
          <w:lang w:val="de-DE"/>
        </w:rPr>
        <w:t>der bekanntesten Schülers</w:t>
      </w:r>
      <w:proofErr w:type="gramEnd"/>
      <w:r w:rsidR="002C49FD">
        <w:rPr>
          <w:lang w:val="de-DE"/>
        </w:rPr>
        <w:t xml:space="preserve"> seiner Lehre vom passiven Widerstand, und Gandhis Verehrung für Tolstoi ist bekannt. Wie es Oskar Maria Graf beschrieb: „so müsse nur jeder [167] Inder das ‚Schlechte‘, zu dem ihn diese Herrschenden nötigten, nicht tun.“</w:t>
      </w:r>
      <w:r w:rsidR="002C49FD">
        <w:rPr>
          <w:rStyle w:val="FootnoteReference"/>
          <w:lang w:val="de-DE"/>
        </w:rPr>
        <w:footnoteReference w:id="14"/>
      </w:r>
      <w:r w:rsidR="002C49FD">
        <w:rPr>
          <w:lang w:val="de-DE"/>
        </w:rPr>
        <w:t xml:space="preserve"> </w:t>
      </w:r>
      <w:r w:rsidR="00EC6393">
        <w:rPr>
          <w:lang w:val="de-DE"/>
        </w:rPr>
        <w:t xml:space="preserve">Graf ist selbst ein Schüler Tolstois, und seine Form des anarchistischen Arbeitens am Ende des ersten Weltkrieges, welches er in Wir sind </w:t>
      </w:r>
      <w:proofErr w:type="spellStart"/>
      <w:r w:rsidR="00EC6393">
        <w:rPr>
          <w:lang w:val="de-DE"/>
        </w:rPr>
        <w:t>Gefange</w:t>
      </w:r>
      <w:proofErr w:type="spellEnd"/>
      <w:r w:rsidR="00EC6393">
        <w:rPr>
          <w:lang w:val="de-DE"/>
        </w:rPr>
        <w:t xml:space="preserve"> beschreibt, dreht sich um die Idee des Generalstreiks. Eine Idee, welche er noch in den 60er Jahren des 20. Jahrhunderts am Werk sah: </w:t>
      </w:r>
      <w:r w:rsidR="002C49FD">
        <w:rPr>
          <w:lang w:val="de-DE"/>
        </w:rPr>
        <w:t>„Ist nicht in jedem modernen Sitzstreik noch ein Hauch davon, da ja unzweifelhaft dadurch die Macht des gewaltlosen ‚Nichttuns‘ demonstriert wird?“</w:t>
      </w:r>
      <w:r w:rsidR="002C49FD">
        <w:rPr>
          <w:rStyle w:val="FootnoteReference"/>
          <w:lang w:val="de-DE"/>
        </w:rPr>
        <w:footnoteReference w:id="15"/>
      </w:r>
    </w:p>
    <w:p w14:paraId="54A3E38D" w14:textId="77777777" w:rsidR="002C49FD" w:rsidRDefault="002C49FD" w:rsidP="001D4197">
      <w:pPr>
        <w:spacing w:line="360" w:lineRule="auto"/>
        <w:rPr>
          <w:lang w:val="de-DE"/>
        </w:rPr>
      </w:pPr>
    </w:p>
    <w:p w14:paraId="2E5D7A4E" w14:textId="77777777" w:rsidR="0012768B" w:rsidRDefault="000B2A67" w:rsidP="001D4197">
      <w:pPr>
        <w:spacing w:line="360" w:lineRule="auto"/>
        <w:rPr>
          <w:lang w:val="de-DE"/>
        </w:rPr>
      </w:pPr>
      <w:r>
        <w:rPr>
          <w:lang w:val="de-DE"/>
        </w:rPr>
        <w:t xml:space="preserve">(4) </w:t>
      </w:r>
      <w:proofErr w:type="spellStart"/>
      <w:r w:rsidRPr="002728A4">
        <w:rPr>
          <w:i/>
          <w:lang w:val="de-DE"/>
        </w:rPr>
        <w:t>Nichttun</w:t>
      </w:r>
      <w:proofErr w:type="spellEnd"/>
      <w:r w:rsidRPr="002728A4">
        <w:rPr>
          <w:i/>
          <w:lang w:val="de-DE"/>
        </w:rPr>
        <w:t xml:space="preserve"> als Unterlassen</w:t>
      </w:r>
      <w:r w:rsidR="002728A4">
        <w:rPr>
          <w:i/>
          <w:lang w:val="de-DE"/>
        </w:rPr>
        <w:t xml:space="preserve"> II</w:t>
      </w:r>
      <w:r>
        <w:rPr>
          <w:lang w:val="de-DE"/>
        </w:rPr>
        <w:t xml:space="preserve">: </w:t>
      </w:r>
      <w:r w:rsidR="002C49FD">
        <w:rPr>
          <w:lang w:val="de-DE"/>
        </w:rPr>
        <w:t xml:space="preserve">das </w:t>
      </w:r>
      <w:proofErr w:type="spellStart"/>
      <w:r w:rsidR="002C49FD">
        <w:rPr>
          <w:lang w:val="de-DE"/>
        </w:rPr>
        <w:t>nicht</w:t>
      </w:r>
      <w:proofErr w:type="spellEnd"/>
      <w:r w:rsidR="002C49FD">
        <w:rPr>
          <w:lang w:val="de-DE"/>
        </w:rPr>
        <w:t xml:space="preserve"> zu tun, </w:t>
      </w:r>
      <w:r>
        <w:rPr>
          <w:lang w:val="de-DE"/>
        </w:rPr>
        <w:t>was nicht getan werden muss</w:t>
      </w:r>
      <w:r w:rsidR="002C49FD">
        <w:rPr>
          <w:lang w:val="de-DE"/>
        </w:rPr>
        <w:t xml:space="preserve">. Mit dieser Form des </w:t>
      </w:r>
      <w:proofErr w:type="spellStart"/>
      <w:r w:rsidR="002C49FD">
        <w:rPr>
          <w:lang w:val="de-DE"/>
        </w:rPr>
        <w:t>Nichtttun</w:t>
      </w:r>
      <w:proofErr w:type="spellEnd"/>
      <w:r w:rsidR="002C49FD">
        <w:rPr>
          <w:lang w:val="de-DE"/>
        </w:rPr>
        <w:t xml:space="preserve"> kommt Tolstoi der Interpretation des </w:t>
      </w:r>
      <w:proofErr w:type="spellStart"/>
      <w:r w:rsidR="002C49FD">
        <w:rPr>
          <w:lang w:val="de-DE"/>
        </w:rPr>
        <w:t>Nichttun</w:t>
      </w:r>
      <w:proofErr w:type="spellEnd"/>
      <w:r w:rsidR="002C49FD">
        <w:rPr>
          <w:lang w:val="de-DE"/>
        </w:rPr>
        <w:t xml:space="preserve"> als Nichtstun am nächsten. Nichtstun mag als Untätigkeit, Faulenzen und Müßiggang verstanden werden (Grimm), und </w:t>
      </w:r>
      <w:r w:rsidR="00EC6393">
        <w:rPr>
          <w:lang w:val="de-DE"/>
        </w:rPr>
        <w:t xml:space="preserve">das lag Tolstoi fern. Nichtstun ist aber auch eine Form der </w:t>
      </w:r>
      <w:r>
        <w:rPr>
          <w:lang w:val="de-DE"/>
        </w:rPr>
        <w:t>Leistungs- und Konsumverweigerung</w:t>
      </w:r>
      <w:r w:rsidR="00EC6393">
        <w:rPr>
          <w:lang w:val="de-DE"/>
        </w:rPr>
        <w:t xml:space="preserve">. </w:t>
      </w:r>
    </w:p>
    <w:p w14:paraId="5329D342" w14:textId="77777777" w:rsidR="00EC6393" w:rsidRDefault="00EC6393" w:rsidP="001D4197">
      <w:pPr>
        <w:spacing w:line="360" w:lineRule="auto"/>
        <w:rPr>
          <w:lang w:val="de-DE"/>
        </w:rPr>
      </w:pPr>
    </w:p>
    <w:p w14:paraId="069A6B6A" w14:textId="1C7CC2B3" w:rsidR="00EC6393" w:rsidRPr="00C707DD" w:rsidRDefault="009C6E81" w:rsidP="001D4197">
      <w:pPr>
        <w:spacing w:line="360" w:lineRule="auto"/>
        <w:rPr>
          <w:lang w:val="de-DE"/>
        </w:rPr>
      </w:pPr>
      <w:r>
        <w:rPr>
          <w:lang w:val="de-DE"/>
        </w:rPr>
        <w:t xml:space="preserve">Das </w:t>
      </w:r>
      <w:proofErr w:type="spellStart"/>
      <w:r>
        <w:rPr>
          <w:lang w:val="de-DE"/>
        </w:rPr>
        <w:t>Nichttun</w:t>
      </w:r>
      <w:proofErr w:type="spellEnd"/>
      <w:r>
        <w:rPr>
          <w:lang w:val="de-DE"/>
        </w:rPr>
        <w:t xml:space="preserve"> predigt weder das weitermachen, noch muss mit irgend etwas angefangen werden. Die Botschaft ist einfach und eindringlich: aufhören.</w:t>
      </w:r>
      <w:r w:rsidR="007B2D23">
        <w:rPr>
          <w:lang w:val="de-DE"/>
        </w:rPr>
        <w:t xml:space="preserve"> </w:t>
      </w:r>
      <w:r>
        <w:rPr>
          <w:lang w:val="de-DE"/>
        </w:rPr>
        <w:t xml:space="preserve">Die bestehende Ordnung fürchtet </w:t>
      </w:r>
      <w:r>
        <w:rPr>
          <w:lang w:val="de-DE"/>
        </w:rPr>
        <w:lastRenderedPageBreak/>
        <w:t xml:space="preserve">das </w:t>
      </w:r>
      <w:proofErr w:type="spellStart"/>
      <w:r>
        <w:rPr>
          <w:lang w:val="de-DE"/>
        </w:rPr>
        <w:t>Nichttun</w:t>
      </w:r>
      <w:proofErr w:type="spellEnd"/>
      <w:r>
        <w:rPr>
          <w:lang w:val="de-DE"/>
        </w:rPr>
        <w:t xml:space="preserve"> und versucht so gut es geht, </w:t>
      </w:r>
      <w:r w:rsidR="00314F80">
        <w:rPr>
          <w:lang w:val="de-DE"/>
        </w:rPr>
        <w:t>eine immer bessere</w:t>
      </w:r>
      <w:r>
        <w:rPr>
          <w:lang w:val="de-DE"/>
        </w:rPr>
        <w:t xml:space="preserve"> Zukunft zu </w:t>
      </w:r>
      <w:r w:rsidR="00314F80">
        <w:rPr>
          <w:lang w:val="de-DE"/>
        </w:rPr>
        <w:t>ver</w:t>
      </w:r>
      <w:r>
        <w:rPr>
          <w:lang w:val="de-DE"/>
        </w:rPr>
        <w:t xml:space="preserve">sprechen </w:t>
      </w:r>
      <w:r w:rsidR="00314F80">
        <w:rPr>
          <w:lang w:val="de-DE"/>
        </w:rPr>
        <w:t xml:space="preserve">– </w:t>
      </w:r>
      <w:r>
        <w:rPr>
          <w:lang w:val="de-DE"/>
        </w:rPr>
        <w:t>oder Betäubung anzubieten. Daran tun die Nutznießer d</w:t>
      </w:r>
      <w:r w:rsidR="00314F80">
        <w:rPr>
          <w:lang w:val="de-DE"/>
        </w:rPr>
        <w:t>ies</w:t>
      </w:r>
      <w:r>
        <w:rPr>
          <w:lang w:val="de-DE"/>
        </w:rPr>
        <w:t xml:space="preserve">er Ordnung gut, denn wie es </w:t>
      </w:r>
      <w:r w:rsidR="007B2D23">
        <w:rPr>
          <w:lang w:val="de-DE"/>
        </w:rPr>
        <w:t xml:space="preserve">Oskar Maria Graf formuliert hatte: </w:t>
      </w:r>
      <w:r w:rsidR="00314F80">
        <w:rPr>
          <w:lang w:val="de-DE"/>
        </w:rPr>
        <w:t>„</w:t>
      </w:r>
      <w:r w:rsidR="00314F80">
        <w:rPr>
          <w:lang w:val="de-DE"/>
        </w:rPr>
        <w:t>Wenn keiner mehr mitmacht, ist’s aus“</w:t>
      </w:r>
      <w:r w:rsidR="00314F80">
        <w:rPr>
          <w:rStyle w:val="FootnoteReference"/>
          <w:lang w:val="de-DE"/>
        </w:rPr>
        <w:footnoteReference w:id="16"/>
      </w:r>
      <w:r w:rsidR="00314F80">
        <w:rPr>
          <w:lang w:val="de-DE"/>
        </w:rPr>
        <w:t xml:space="preserve"> </w:t>
      </w:r>
    </w:p>
    <w:sectPr w:rsidR="00EC6393" w:rsidRPr="00C707D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A2107" w14:textId="77777777" w:rsidR="00E47E51" w:rsidRDefault="00E47E51" w:rsidP="002728A4">
      <w:r>
        <w:separator/>
      </w:r>
    </w:p>
  </w:endnote>
  <w:endnote w:type="continuationSeparator" w:id="0">
    <w:p w14:paraId="2E89E27E" w14:textId="77777777" w:rsidR="00E47E51" w:rsidRDefault="00E47E51" w:rsidP="0027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D6501" w14:textId="77777777" w:rsidR="00E47E51" w:rsidRDefault="00E47E51" w:rsidP="002728A4">
      <w:r>
        <w:separator/>
      </w:r>
    </w:p>
  </w:footnote>
  <w:footnote w:type="continuationSeparator" w:id="0">
    <w:p w14:paraId="75110899" w14:textId="77777777" w:rsidR="00E47E51" w:rsidRDefault="00E47E51" w:rsidP="002728A4">
      <w:r>
        <w:continuationSeparator/>
      </w:r>
    </w:p>
  </w:footnote>
  <w:footnote w:id="1">
    <w:p w14:paraId="3F5C4932" w14:textId="77777777" w:rsidR="001E34D3" w:rsidRPr="001E34D3" w:rsidRDefault="001E34D3" w:rsidP="001E34D3">
      <w:pPr>
        <w:pStyle w:val="FootnoteText"/>
        <w:spacing w:after="0" w:line="240" w:lineRule="auto"/>
        <w:rPr>
          <w:lang w:val="de-DE"/>
        </w:rPr>
      </w:pPr>
      <w:r w:rsidRPr="001E34D3">
        <w:rPr>
          <w:rStyle w:val="FootnoteReference"/>
        </w:rPr>
        <w:footnoteRef/>
      </w:r>
      <w:r w:rsidRPr="001E34D3">
        <w:rPr>
          <w:lang w:val="de-DE"/>
        </w:rPr>
        <w:t xml:space="preserve"> (185-186) Bereits in einem Interview hatte er davon gesprochen, er werde in seiner Rede an die Jugend das </w:t>
      </w:r>
      <w:proofErr w:type="spellStart"/>
      <w:r w:rsidRPr="001E34D3">
        <w:rPr>
          <w:lang w:val="de-DE"/>
        </w:rPr>
        <w:t>Hosiana</w:t>
      </w:r>
      <w:proofErr w:type="spellEnd"/>
      <w:r w:rsidRPr="001E34D3">
        <w:rPr>
          <w:lang w:val="de-DE"/>
        </w:rPr>
        <w:t xml:space="preserve"> der Arbeit und Wissenschaft vortragen. </w:t>
      </w:r>
    </w:p>
  </w:footnote>
  <w:footnote w:id="2">
    <w:p w14:paraId="64E55ED3" w14:textId="4BEFA0A4" w:rsidR="006F1376" w:rsidRPr="006F1376" w:rsidRDefault="006F1376">
      <w:pPr>
        <w:pStyle w:val="FootnoteText"/>
        <w:rPr>
          <w:lang w:val="de-DE"/>
        </w:rPr>
      </w:pPr>
      <w:r>
        <w:rPr>
          <w:rStyle w:val="FootnoteReference"/>
        </w:rPr>
        <w:footnoteRef/>
      </w:r>
      <w:r w:rsidRPr="00803DC0">
        <w:rPr>
          <w:lang w:val="de-DE"/>
        </w:rPr>
        <w:t xml:space="preserve"> </w:t>
      </w:r>
      <w:r>
        <w:rPr>
          <w:lang w:val="de-DE"/>
        </w:rPr>
        <w:t xml:space="preserve">Ebd. </w:t>
      </w:r>
    </w:p>
  </w:footnote>
  <w:footnote w:id="3">
    <w:p w14:paraId="2A6AD21A" w14:textId="77777777" w:rsidR="00803DC0" w:rsidRPr="001E34D3" w:rsidRDefault="00803DC0" w:rsidP="00803DC0">
      <w:pPr>
        <w:pStyle w:val="FootnoteText"/>
        <w:spacing w:after="0" w:line="240" w:lineRule="auto"/>
        <w:rPr>
          <w:lang w:val="de-DE"/>
        </w:rPr>
      </w:pPr>
      <w:r w:rsidRPr="001E34D3">
        <w:rPr>
          <w:rStyle w:val="FootnoteReference"/>
        </w:rPr>
        <w:footnoteRef/>
      </w:r>
      <w:r w:rsidRPr="006F1376">
        <w:rPr>
          <w:lang w:val="de-DE"/>
        </w:rPr>
        <w:t xml:space="preserve"> </w:t>
      </w:r>
      <w:r w:rsidRPr="001E34D3">
        <w:rPr>
          <w:lang w:val="de-DE"/>
        </w:rPr>
        <w:t>(509)</w:t>
      </w:r>
    </w:p>
  </w:footnote>
  <w:footnote w:id="4">
    <w:p w14:paraId="2664581D" w14:textId="7C166DD9" w:rsidR="00803DC0" w:rsidRPr="00803DC0" w:rsidRDefault="00803DC0">
      <w:pPr>
        <w:pStyle w:val="FootnoteText"/>
        <w:rPr>
          <w:lang w:val="de-DE"/>
        </w:rPr>
      </w:pPr>
      <w:r>
        <w:rPr>
          <w:rStyle w:val="FootnoteReference"/>
        </w:rPr>
        <w:footnoteRef/>
      </w:r>
      <w:r w:rsidRPr="00803DC0">
        <w:rPr>
          <w:lang w:val="de-DE"/>
        </w:rPr>
        <w:t xml:space="preserve"> </w:t>
      </w:r>
      <w:r>
        <w:rPr>
          <w:lang w:val="de-DE"/>
        </w:rPr>
        <w:t>582-583</w:t>
      </w:r>
    </w:p>
  </w:footnote>
  <w:footnote w:id="5">
    <w:p w14:paraId="16EDD8A2" w14:textId="269F37B9" w:rsidR="00803DC0" w:rsidRPr="00803DC0" w:rsidRDefault="00803DC0">
      <w:pPr>
        <w:pStyle w:val="FootnoteText"/>
        <w:rPr>
          <w:lang w:val="de-DE"/>
        </w:rPr>
      </w:pPr>
      <w:r>
        <w:rPr>
          <w:rStyle w:val="FootnoteReference"/>
        </w:rPr>
        <w:footnoteRef/>
      </w:r>
      <w:r w:rsidRPr="00803DC0">
        <w:rPr>
          <w:lang w:val="de-DE"/>
        </w:rPr>
        <w:t xml:space="preserve"> </w:t>
      </w:r>
      <w:r>
        <w:rPr>
          <w:lang w:val="de-DE"/>
        </w:rPr>
        <w:t>(585)</w:t>
      </w:r>
    </w:p>
  </w:footnote>
  <w:footnote w:id="6">
    <w:p w14:paraId="0F758EC3" w14:textId="3C450D7F" w:rsidR="00803DC0" w:rsidRPr="00803DC0" w:rsidRDefault="00803DC0">
      <w:pPr>
        <w:pStyle w:val="FootnoteText"/>
        <w:rPr>
          <w:lang w:val="de-DE"/>
        </w:rPr>
      </w:pPr>
      <w:r>
        <w:rPr>
          <w:rStyle w:val="FootnoteReference"/>
        </w:rPr>
        <w:footnoteRef/>
      </w:r>
      <w:r w:rsidRPr="00803DC0">
        <w:rPr>
          <w:lang w:val="de-DE"/>
        </w:rPr>
        <w:t xml:space="preserve"> </w:t>
      </w:r>
      <w:r>
        <w:rPr>
          <w:lang w:val="de-DE"/>
        </w:rPr>
        <w:t>583</w:t>
      </w:r>
    </w:p>
  </w:footnote>
  <w:footnote w:id="7">
    <w:p w14:paraId="49304B6A" w14:textId="78314403" w:rsidR="009C6E81" w:rsidRPr="001E34D3" w:rsidRDefault="009C6E81" w:rsidP="001E34D3">
      <w:pPr>
        <w:pStyle w:val="FootnoteText"/>
        <w:spacing w:after="0" w:line="240" w:lineRule="auto"/>
        <w:rPr>
          <w:lang w:val="de-DE"/>
        </w:rPr>
      </w:pPr>
      <w:r w:rsidRPr="001E34D3">
        <w:rPr>
          <w:rStyle w:val="FootnoteReference"/>
        </w:rPr>
        <w:footnoteRef/>
      </w:r>
      <w:r w:rsidRPr="006F1376">
        <w:rPr>
          <w:rStyle w:val="FootnoteReference"/>
          <w:lang w:val="de-DE"/>
        </w:rPr>
        <w:t xml:space="preserve"> </w:t>
      </w:r>
      <w:r w:rsidRPr="006F1376">
        <w:rPr>
          <w:lang w:val="de-DE"/>
        </w:rPr>
        <w:t xml:space="preserve">Max Scheler nannte ihn den größten Kulturrevolutionär seiner Zeit. </w:t>
      </w:r>
      <w:r w:rsidR="00314F80" w:rsidRPr="00803DC0">
        <w:rPr>
          <w:lang w:val="de-DE"/>
        </w:rPr>
        <w:t xml:space="preserve">Siehe auch Stein: Schlafkrankheit …. </w:t>
      </w:r>
    </w:p>
  </w:footnote>
  <w:footnote w:id="8">
    <w:p w14:paraId="1DC3CAE1" w14:textId="77777777" w:rsidR="002728A4" w:rsidRPr="001E34D3" w:rsidRDefault="002728A4" w:rsidP="001E34D3">
      <w:pPr>
        <w:pStyle w:val="FootnoteText"/>
        <w:spacing w:after="0" w:line="240" w:lineRule="auto"/>
        <w:rPr>
          <w:lang w:val="de-DE"/>
        </w:rPr>
      </w:pPr>
      <w:r w:rsidRPr="001E34D3">
        <w:rPr>
          <w:rStyle w:val="FootnoteReference"/>
        </w:rPr>
        <w:footnoteRef/>
      </w:r>
      <w:r w:rsidRPr="001E34D3">
        <w:rPr>
          <w:lang w:val="de-DE"/>
        </w:rPr>
        <w:t xml:space="preserve"> („Besinnet Euch! (Tut Buße) Ein Wort zum Russisch-Japanischen Krieg.“ In: Religiös-ethische Flugschriften Band II. Sämtliche Werke. I. Serie. Sozial-ethische Schriften. Band 12. Jena: Diederichs, 1911, 1-100, hier 39. </w:t>
      </w:r>
    </w:p>
  </w:footnote>
  <w:footnote w:id="9">
    <w:p w14:paraId="7B4AD6BA"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lang w:val="de-DE"/>
        </w:rPr>
        <w:t xml:space="preserve"> Lao-Tse: </w:t>
      </w:r>
      <w:r w:rsidRPr="001E34D3">
        <w:rPr>
          <w:i/>
          <w:lang w:val="de-DE"/>
        </w:rPr>
        <w:t>Tao-</w:t>
      </w:r>
      <w:proofErr w:type="spellStart"/>
      <w:r w:rsidRPr="001E34D3">
        <w:rPr>
          <w:i/>
          <w:lang w:val="de-DE"/>
        </w:rPr>
        <w:t>T</w:t>
      </w:r>
      <w:r w:rsidRPr="001E34D3">
        <w:rPr>
          <w:rFonts w:ascii="Calibri" w:hAnsi="Calibri" w:cs="Calibri"/>
          <w:i/>
          <w:lang w:val="de-DE"/>
        </w:rPr>
        <w:t>ê</w:t>
      </w:r>
      <w:proofErr w:type="spellEnd"/>
      <w:r w:rsidRPr="001E34D3">
        <w:rPr>
          <w:i/>
          <w:lang w:val="de-DE"/>
        </w:rPr>
        <w:t>-King. Übertragung und Kommentar von Victor von Strauß</w:t>
      </w:r>
      <w:r w:rsidRPr="001E34D3">
        <w:rPr>
          <w:lang w:val="de-DE"/>
        </w:rPr>
        <w:t xml:space="preserve">. Zürich: </w:t>
      </w:r>
      <w:proofErr w:type="spellStart"/>
      <w:r w:rsidRPr="001E34D3">
        <w:rPr>
          <w:lang w:val="de-DE"/>
        </w:rPr>
        <w:t>Manesse</w:t>
      </w:r>
      <w:proofErr w:type="spellEnd"/>
      <w:r w:rsidRPr="001E34D3">
        <w:rPr>
          <w:lang w:val="de-DE"/>
        </w:rPr>
        <w:t xml:space="preserve">, 1959 (Nicht-Tun), Lao-Tse: </w:t>
      </w:r>
      <w:r w:rsidRPr="001E34D3">
        <w:rPr>
          <w:i/>
          <w:lang w:val="de-DE"/>
        </w:rPr>
        <w:t>Tao-</w:t>
      </w:r>
      <w:proofErr w:type="spellStart"/>
      <w:r w:rsidRPr="001E34D3">
        <w:rPr>
          <w:i/>
          <w:lang w:val="de-DE"/>
        </w:rPr>
        <w:t>T</w:t>
      </w:r>
      <w:r w:rsidRPr="001E34D3">
        <w:rPr>
          <w:rFonts w:ascii="Calibri" w:hAnsi="Calibri" w:cs="Calibri"/>
          <w:i/>
          <w:lang w:val="de-DE"/>
        </w:rPr>
        <w:t>ê</w:t>
      </w:r>
      <w:proofErr w:type="spellEnd"/>
      <w:r w:rsidRPr="001E34D3">
        <w:rPr>
          <w:i/>
          <w:lang w:val="de-DE"/>
        </w:rPr>
        <w:t xml:space="preserve">-King. Das Heilige Buch vom Weg und von der Tugend. Übersetzung, Einleitung und Anmerkungen von Günther </w:t>
      </w:r>
      <w:proofErr w:type="spellStart"/>
      <w:r w:rsidRPr="001E34D3">
        <w:rPr>
          <w:i/>
          <w:lang w:val="de-DE"/>
        </w:rPr>
        <w:t>Debon</w:t>
      </w:r>
      <w:proofErr w:type="spellEnd"/>
      <w:r w:rsidRPr="001E34D3">
        <w:rPr>
          <w:lang w:val="de-DE"/>
        </w:rPr>
        <w:t xml:space="preserve">. Stuttgart: Reclam, 2016 (Ohne-Tun), Hans van </w:t>
      </w:r>
      <w:proofErr w:type="spellStart"/>
      <w:r w:rsidRPr="001E34D3">
        <w:rPr>
          <w:lang w:val="de-DE"/>
        </w:rPr>
        <w:t>Ess</w:t>
      </w:r>
      <w:proofErr w:type="spellEnd"/>
      <w:r w:rsidRPr="001E34D3">
        <w:rPr>
          <w:lang w:val="de-DE"/>
        </w:rPr>
        <w:t xml:space="preserve">: </w:t>
      </w:r>
      <w:r w:rsidRPr="001E34D3">
        <w:rPr>
          <w:i/>
          <w:lang w:val="de-DE"/>
        </w:rPr>
        <w:t xml:space="preserve">Der Daoismus. Von </w:t>
      </w:r>
      <w:proofErr w:type="spellStart"/>
      <w:r w:rsidRPr="001E34D3">
        <w:rPr>
          <w:i/>
          <w:lang w:val="de-DE"/>
        </w:rPr>
        <w:t>Laozi</w:t>
      </w:r>
      <w:proofErr w:type="spellEnd"/>
      <w:r w:rsidRPr="001E34D3">
        <w:rPr>
          <w:i/>
          <w:lang w:val="de-DE"/>
        </w:rPr>
        <w:t xml:space="preserve"> bis heute</w:t>
      </w:r>
      <w:r w:rsidRPr="001E34D3">
        <w:rPr>
          <w:lang w:val="de-DE"/>
        </w:rPr>
        <w:t xml:space="preserve">. München; C.H. Beck, 2011 (Nicht-Handeln), </w:t>
      </w:r>
      <w:proofErr w:type="spellStart"/>
      <w:r w:rsidRPr="001E34D3">
        <w:rPr>
          <w:lang w:val="de-DE"/>
        </w:rPr>
        <w:t>Shaoping</w:t>
      </w:r>
      <w:proofErr w:type="spellEnd"/>
      <w:r w:rsidRPr="001E34D3">
        <w:rPr>
          <w:lang w:val="de-DE"/>
        </w:rPr>
        <w:t xml:space="preserve"> </w:t>
      </w:r>
      <w:proofErr w:type="spellStart"/>
      <w:r w:rsidRPr="001E34D3">
        <w:rPr>
          <w:lang w:val="de-DE"/>
        </w:rPr>
        <w:t>Gan</w:t>
      </w:r>
      <w:proofErr w:type="spellEnd"/>
      <w:r w:rsidRPr="001E34D3">
        <w:rPr>
          <w:lang w:val="de-DE"/>
        </w:rPr>
        <w:t xml:space="preserve">: </w:t>
      </w:r>
      <w:r w:rsidRPr="001E34D3">
        <w:rPr>
          <w:i/>
          <w:lang w:val="de-DE"/>
        </w:rPr>
        <w:t>Die chinesische Philosophie. Die wichtigsten Philosophen, Werke, Schulen und Begriffe</w:t>
      </w:r>
      <w:r w:rsidRPr="001E34D3">
        <w:rPr>
          <w:lang w:val="de-DE"/>
        </w:rPr>
        <w:t xml:space="preserve">. Darmstadt: Wissenschaftliche Buchgesellschaft, 1997 (Nicht-Eingreifen), J.J.M. De </w:t>
      </w:r>
      <w:proofErr w:type="spellStart"/>
      <w:r w:rsidRPr="001E34D3">
        <w:rPr>
          <w:lang w:val="de-DE"/>
        </w:rPr>
        <w:t>Groot</w:t>
      </w:r>
      <w:proofErr w:type="spellEnd"/>
      <w:r w:rsidRPr="001E34D3">
        <w:rPr>
          <w:lang w:val="de-DE"/>
        </w:rPr>
        <w:t xml:space="preserve">: </w:t>
      </w:r>
      <w:proofErr w:type="spellStart"/>
      <w:r w:rsidRPr="001E34D3">
        <w:rPr>
          <w:i/>
          <w:lang w:val="de-DE"/>
        </w:rPr>
        <w:t>Universismus</w:t>
      </w:r>
      <w:proofErr w:type="spellEnd"/>
      <w:r w:rsidRPr="001E34D3">
        <w:rPr>
          <w:i/>
          <w:lang w:val="de-DE"/>
        </w:rPr>
        <w:t>. Die Grundlagen der Religion und Ethik, des Staatswesens und der Wissenschaften Chinas</w:t>
      </w:r>
      <w:r w:rsidRPr="001E34D3">
        <w:rPr>
          <w:lang w:val="de-DE"/>
        </w:rPr>
        <w:t xml:space="preserve">. Berlin: Georg Reimer, 1918 (Regungslosigkeit), H. </w:t>
      </w:r>
      <w:proofErr w:type="spellStart"/>
      <w:r w:rsidRPr="001E34D3">
        <w:rPr>
          <w:lang w:val="de-DE"/>
        </w:rPr>
        <w:t>Roetz</w:t>
      </w:r>
      <w:proofErr w:type="spellEnd"/>
      <w:r w:rsidRPr="001E34D3">
        <w:rPr>
          <w:lang w:val="de-DE"/>
        </w:rPr>
        <w:t xml:space="preserve">: „Wu Wei“. In: </w:t>
      </w:r>
      <w:r w:rsidRPr="001E34D3">
        <w:rPr>
          <w:i/>
          <w:lang w:val="de-DE"/>
        </w:rPr>
        <w:t>Historisches Wörterbuch der Philosophie. Band 12: W-Z</w:t>
      </w:r>
      <w:r w:rsidRPr="001E34D3">
        <w:rPr>
          <w:lang w:val="de-DE"/>
        </w:rPr>
        <w:t xml:space="preserve">. Basel: Schwabe, 2004, 1097-1100 (Inaktivität, Zweckfreiheit, Handlungsenthaltung, Stillstellung des Handelns). </w:t>
      </w:r>
    </w:p>
  </w:footnote>
  <w:footnote w:id="10">
    <w:p w14:paraId="011C983B" w14:textId="77777777" w:rsidR="002C49FD" w:rsidRPr="001E34D3" w:rsidRDefault="002C49FD" w:rsidP="001E34D3">
      <w:pPr>
        <w:rPr>
          <w:sz w:val="20"/>
          <w:szCs w:val="20"/>
          <w:lang w:val="de-DE"/>
        </w:rPr>
      </w:pPr>
      <w:r w:rsidRPr="001E34D3">
        <w:rPr>
          <w:rStyle w:val="FootnoteReference"/>
          <w:sz w:val="20"/>
          <w:szCs w:val="20"/>
        </w:rPr>
        <w:footnoteRef/>
      </w:r>
      <w:r w:rsidRPr="001E34D3">
        <w:rPr>
          <w:sz w:val="20"/>
          <w:szCs w:val="20"/>
          <w:lang w:val="de-DE"/>
        </w:rPr>
        <w:t xml:space="preserve"> J.J.M. De </w:t>
      </w:r>
      <w:proofErr w:type="spellStart"/>
      <w:r w:rsidRPr="001E34D3">
        <w:rPr>
          <w:sz w:val="20"/>
          <w:szCs w:val="20"/>
          <w:lang w:val="de-DE"/>
        </w:rPr>
        <w:t>Groot</w:t>
      </w:r>
      <w:proofErr w:type="spellEnd"/>
      <w:r w:rsidRPr="001E34D3">
        <w:rPr>
          <w:sz w:val="20"/>
          <w:szCs w:val="20"/>
          <w:lang w:val="de-DE"/>
        </w:rPr>
        <w:t xml:space="preserve">: </w:t>
      </w:r>
      <w:proofErr w:type="spellStart"/>
      <w:r w:rsidRPr="001E34D3">
        <w:rPr>
          <w:i/>
          <w:sz w:val="20"/>
          <w:szCs w:val="20"/>
          <w:lang w:val="de-DE"/>
        </w:rPr>
        <w:t>Universismus</w:t>
      </w:r>
      <w:proofErr w:type="spellEnd"/>
      <w:r w:rsidRPr="001E34D3">
        <w:rPr>
          <w:i/>
          <w:sz w:val="20"/>
          <w:szCs w:val="20"/>
          <w:lang w:val="de-DE"/>
        </w:rPr>
        <w:t>. Die Grundlagen der Religion und Ethik, des Staatswesens und der Wissenschaften Chinas</w:t>
      </w:r>
      <w:r w:rsidRPr="001E34D3">
        <w:rPr>
          <w:sz w:val="20"/>
          <w:szCs w:val="20"/>
          <w:lang w:val="de-DE"/>
        </w:rPr>
        <w:t>. Berlin: Georg Reimer, 1918, 5.</w:t>
      </w:r>
    </w:p>
  </w:footnote>
  <w:footnote w:id="11">
    <w:p w14:paraId="4108D03F"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lang w:val="de-DE"/>
        </w:rPr>
        <w:t xml:space="preserve"> Ebd., 15.</w:t>
      </w:r>
    </w:p>
  </w:footnote>
  <w:footnote w:id="12">
    <w:p w14:paraId="0A29DF4D"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rStyle w:val="FootnoteReference"/>
          <w:lang w:val="de-DE"/>
        </w:rPr>
        <w:t xml:space="preserve"> </w:t>
      </w:r>
      <w:r w:rsidRPr="001E34D3">
        <w:rPr>
          <w:lang w:val="de-DE"/>
        </w:rPr>
        <w:t xml:space="preserve">Ebd., 20. </w:t>
      </w:r>
    </w:p>
  </w:footnote>
  <w:footnote w:id="13">
    <w:p w14:paraId="036846D2"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lang w:val="de-DE"/>
        </w:rPr>
        <w:t xml:space="preserve"> Wolfgang Bauer: </w:t>
      </w:r>
      <w:r w:rsidRPr="001E34D3">
        <w:rPr>
          <w:i/>
          <w:lang w:val="de-DE"/>
        </w:rPr>
        <w:t xml:space="preserve">Geschichte der chinesischen Philosophie. Konfuzianismus, Daoismus, Buddhismus. Herausgegeben von Hans van </w:t>
      </w:r>
      <w:proofErr w:type="spellStart"/>
      <w:r w:rsidRPr="001E34D3">
        <w:rPr>
          <w:i/>
          <w:lang w:val="de-DE"/>
        </w:rPr>
        <w:t>Ess</w:t>
      </w:r>
      <w:proofErr w:type="spellEnd"/>
      <w:r w:rsidRPr="001E34D3">
        <w:rPr>
          <w:lang w:val="de-DE"/>
        </w:rPr>
        <w:t>. München: Beck, 2001, 93.</w:t>
      </w:r>
    </w:p>
  </w:footnote>
  <w:footnote w:id="14">
    <w:p w14:paraId="5271A275"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lang w:val="de-DE"/>
        </w:rPr>
        <w:t xml:space="preserve"> (Oskar Maria Graf: </w:t>
      </w:r>
      <w:proofErr w:type="spellStart"/>
      <w:r w:rsidRPr="001E34D3">
        <w:rPr>
          <w:lang w:val="de-DE"/>
        </w:rPr>
        <w:t>Tolstoj</w:t>
      </w:r>
      <w:proofErr w:type="spellEnd"/>
      <w:r w:rsidRPr="001E34D3">
        <w:rPr>
          <w:lang w:val="de-DE"/>
        </w:rPr>
        <w:t xml:space="preserve"> als weltgeschichtliches Ereignis. Kleine Notiz zu seinem fünfzigsten Todestag. In: An manchen Tagen. Reden, Gedanken und Zeitbetrachtungen. München: </w:t>
      </w:r>
      <w:proofErr w:type="spellStart"/>
      <w:r w:rsidRPr="001E34D3">
        <w:rPr>
          <w:lang w:val="de-DE"/>
        </w:rPr>
        <w:t>dtv</w:t>
      </w:r>
      <w:proofErr w:type="spellEnd"/>
      <w:r w:rsidRPr="001E34D3">
        <w:rPr>
          <w:lang w:val="de-DE"/>
        </w:rPr>
        <w:t>: 1994, 162-167, 166-167)</w:t>
      </w:r>
    </w:p>
  </w:footnote>
  <w:footnote w:id="15">
    <w:p w14:paraId="6C7236DF" w14:textId="77777777" w:rsidR="002C49FD" w:rsidRPr="001E34D3" w:rsidRDefault="002C49FD" w:rsidP="001E34D3">
      <w:pPr>
        <w:pStyle w:val="FootnoteText"/>
        <w:spacing w:after="0" w:line="240" w:lineRule="auto"/>
        <w:rPr>
          <w:lang w:val="de-DE"/>
        </w:rPr>
      </w:pPr>
      <w:r w:rsidRPr="001E34D3">
        <w:rPr>
          <w:rStyle w:val="FootnoteReference"/>
        </w:rPr>
        <w:footnoteRef/>
      </w:r>
      <w:r w:rsidRPr="001E34D3">
        <w:rPr>
          <w:lang w:val="de-DE"/>
        </w:rPr>
        <w:t xml:space="preserve">  (Oskar Maria Graf: </w:t>
      </w:r>
      <w:proofErr w:type="spellStart"/>
      <w:r w:rsidRPr="001E34D3">
        <w:rPr>
          <w:lang w:val="de-DE"/>
        </w:rPr>
        <w:t>Tolstoj</w:t>
      </w:r>
      <w:proofErr w:type="spellEnd"/>
      <w:r w:rsidRPr="001E34D3">
        <w:rPr>
          <w:lang w:val="de-DE"/>
        </w:rPr>
        <w:t xml:space="preserve"> als weltgeschichtliches Ereignis. Kleine Notiz zu seinem fünfzigsten Todestag. In: An manchen Tagen. Reden, Gedanken und Zeitbetrachtungen. München: </w:t>
      </w:r>
      <w:proofErr w:type="spellStart"/>
      <w:r w:rsidRPr="001E34D3">
        <w:rPr>
          <w:lang w:val="de-DE"/>
        </w:rPr>
        <w:t>dtv</w:t>
      </w:r>
      <w:proofErr w:type="spellEnd"/>
      <w:r w:rsidRPr="001E34D3">
        <w:rPr>
          <w:lang w:val="de-DE"/>
        </w:rPr>
        <w:t>: 1994, 162-167, 167)</w:t>
      </w:r>
    </w:p>
  </w:footnote>
  <w:footnote w:id="16">
    <w:p w14:paraId="79460E83" w14:textId="0803BF12" w:rsidR="00314F80" w:rsidRPr="001E34D3" w:rsidRDefault="00314F80" w:rsidP="001E34D3">
      <w:pPr>
        <w:pStyle w:val="FootnoteText"/>
        <w:spacing w:after="0" w:line="240" w:lineRule="auto"/>
        <w:rPr>
          <w:lang w:val="de-DE"/>
        </w:rPr>
      </w:pPr>
      <w:r w:rsidRPr="001E34D3">
        <w:rPr>
          <w:rStyle w:val="FootnoteReference"/>
        </w:rPr>
        <w:footnoteRef/>
      </w:r>
      <w:r w:rsidRPr="001E34D3">
        <w:t xml:space="preserve"> </w:t>
      </w:r>
      <w:r w:rsidRPr="001E34D3">
        <w:rPr>
          <w:lang w:val="de-DE"/>
        </w:rPr>
        <w:t xml:space="preserve">Graf, Wir sind Gefangene, </w:t>
      </w:r>
      <w:r w:rsidRPr="001E34D3">
        <w:rPr>
          <w:lang w:val="de-DE"/>
        </w:rPr>
        <w:t>(341)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9E"/>
    <w:rsid w:val="000B2A67"/>
    <w:rsid w:val="001231ED"/>
    <w:rsid w:val="0012768B"/>
    <w:rsid w:val="001A2EC4"/>
    <w:rsid w:val="001D4197"/>
    <w:rsid w:val="001E34D3"/>
    <w:rsid w:val="002252B3"/>
    <w:rsid w:val="00245B26"/>
    <w:rsid w:val="00257F0E"/>
    <w:rsid w:val="002728A4"/>
    <w:rsid w:val="002B2459"/>
    <w:rsid w:val="002C49FD"/>
    <w:rsid w:val="00307A4A"/>
    <w:rsid w:val="00314F80"/>
    <w:rsid w:val="0036560B"/>
    <w:rsid w:val="00395CDE"/>
    <w:rsid w:val="0046775F"/>
    <w:rsid w:val="004A259E"/>
    <w:rsid w:val="0055526E"/>
    <w:rsid w:val="00635244"/>
    <w:rsid w:val="006616CC"/>
    <w:rsid w:val="006E0AF6"/>
    <w:rsid w:val="006F1376"/>
    <w:rsid w:val="007172A6"/>
    <w:rsid w:val="007660F9"/>
    <w:rsid w:val="007B2D23"/>
    <w:rsid w:val="00803DC0"/>
    <w:rsid w:val="00834B64"/>
    <w:rsid w:val="00842BDF"/>
    <w:rsid w:val="008B36AC"/>
    <w:rsid w:val="00940BF9"/>
    <w:rsid w:val="0096503D"/>
    <w:rsid w:val="009C6E81"/>
    <w:rsid w:val="00A8533E"/>
    <w:rsid w:val="00B027DB"/>
    <w:rsid w:val="00C707DD"/>
    <w:rsid w:val="00E15ED8"/>
    <w:rsid w:val="00E309AF"/>
    <w:rsid w:val="00E47E51"/>
    <w:rsid w:val="00EC6393"/>
    <w:rsid w:val="00EC6D07"/>
    <w:rsid w:val="00F90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52A77"/>
  <w14:defaultImageDpi w14:val="32767"/>
  <w15:chartTrackingRefBased/>
  <w15:docId w15:val="{793C76AB-CD69-7F40-AAA3-D93091345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67"/>
    <w:pPr>
      <w:ind w:left="720"/>
      <w:contextualSpacing/>
    </w:pPr>
  </w:style>
  <w:style w:type="paragraph" w:styleId="FootnoteText">
    <w:name w:val="footnote text"/>
    <w:basedOn w:val="Normal"/>
    <w:link w:val="FootnoteTextChar"/>
    <w:uiPriority w:val="99"/>
    <w:unhideWhenUsed/>
    <w:rsid w:val="002728A4"/>
    <w:pPr>
      <w:spacing w:after="180" w:line="274" w:lineRule="auto"/>
    </w:pPr>
    <w:rPr>
      <w:sz w:val="20"/>
      <w:szCs w:val="20"/>
    </w:rPr>
  </w:style>
  <w:style w:type="character" w:customStyle="1" w:styleId="FootnoteTextChar">
    <w:name w:val="Footnote Text Char"/>
    <w:basedOn w:val="DefaultParagraphFont"/>
    <w:link w:val="FootnoteText"/>
    <w:uiPriority w:val="99"/>
    <w:rsid w:val="002728A4"/>
    <w:rPr>
      <w:sz w:val="20"/>
      <w:szCs w:val="20"/>
    </w:rPr>
  </w:style>
  <w:style w:type="character" w:styleId="FootnoteReference">
    <w:name w:val="footnote reference"/>
    <w:basedOn w:val="DefaultParagraphFont"/>
    <w:uiPriority w:val="99"/>
    <w:semiHidden/>
    <w:unhideWhenUsed/>
    <w:rsid w:val="002728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6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FE046-4C9D-714F-AE5D-564CB104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14</cp:revision>
  <dcterms:created xsi:type="dcterms:W3CDTF">2020-07-07T11:50:00Z</dcterms:created>
  <dcterms:modified xsi:type="dcterms:W3CDTF">2020-07-08T15:19:00Z</dcterms:modified>
</cp:coreProperties>
</file>