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97D75" w14:textId="232A3AA8" w:rsidR="006A41F3" w:rsidRPr="00FA7DD2" w:rsidRDefault="00FA7DD2">
      <w:pPr>
        <w:rPr>
          <w:b/>
          <w:lang w:val="de-DE"/>
        </w:rPr>
      </w:pPr>
      <w:r w:rsidRPr="00FA7DD2">
        <w:rPr>
          <w:b/>
          <w:lang w:val="de-DE"/>
        </w:rPr>
        <w:t xml:space="preserve">H. </w:t>
      </w:r>
      <w:proofErr w:type="spellStart"/>
      <w:r w:rsidRPr="00FA7DD2">
        <w:rPr>
          <w:b/>
          <w:lang w:val="de-DE"/>
        </w:rPr>
        <w:t>Merklein</w:t>
      </w:r>
      <w:proofErr w:type="spellEnd"/>
      <w:r w:rsidRPr="00FA7DD2">
        <w:rPr>
          <w:b/>
          <w:lang w:val="de-DE"/>
        </w:rPr>
        <w:t>: [</w:t>
      </w:r>
      <w:proofErr w:type="spellStart"/>
      <w:r w:rsidRPr="00FA7DD2">
        <w:rPr>
          <w:b/>
          <w:lang w:val="de-DE"/>
        </w:rPr>
        <w:t>metanoia</w:t>
      </w:r>
      <w:proofErr w:type="spellEnd"/>
      <w:r w:rsidRPr="00FA7DD2">
        <w:rPr>
          <w:b/>
          <w:lang w:val="de-DE"/>
        </w:rPr>
        <w:t xml:space="preserve">, </w:t>
      </w:r>
      <w:proofErr w:type="spellStart"/>
      <w:r w:rsidRPr="00FA7DD2">
        <w:rPr>
          <w:b/>
          <w:lang w:val="de-DE"/>
        </w:rPr>
        <w:t>metanoe</w:t>
      </w:r>
      <w:r w:rsidR="00F40B1B" w:rsidRPr="00F40B1B">
        <w:rPr>
          <w:b/>
          <w:lang w:val="de-DE"/>
        </w:rPr>
        <w:t>ō</w:t>
      </w:r>
      <w:proofErr w:type="spellEnd"/>
      <w:r w:rsidRPr="00FA7DD2">
        <w:rPr>
          <w:b/>
          <w:lang w:val="de-DE"/>
        </w:rPr>
        <w:t>], in: Horst Balz, Gerhard Schneider (</w:t>
      </w:r>
      <w:proofErr w:type="spellStart"/>
      <w:r w:rsidRPr="00FA7DD2">
        <w:rPr>
          <w:b/>
          <w:lang w:val="de-DE"/>
        </w:rPr>
        <w:t>Hg</w:t>
      </w:r>
      <w:proofErr w:type="spellEnd"/>
      <w:r w:rsidRPr="00FA7DD2">
        <w:rPr>
          <w:b/>
          <w:lang w:val="de-DE"/>
        </w:rPr>
        <w:t>.): Exegetisches Wörterbuch zum Neuen Testament. Band II. Stuttgart, Berlin, Köln: Kohlhammer, 1992.</w:t>
      </w:r>
    </w:p>
    <w:p w14:paraId="778EDF32" w14:textId="77777777" w:rsidR="00FA7DD2" w:rsidRDefault="00FA7DD2">
      <w:pPr>
        <w:rPr>
          <w:lang w:val="de-DE"/>
        </w:rPr>
      </w:pPr>
    </w:p>
    <w:p w14:paraId="0B420BAE" w14:textId="5E5EE64C" w:rsidR="00F40B1B" w:rsidRPr="00F40B1B" w:rsidRDefault="00F40B1B" w:rsidP="00F40B1B">
      <w:pPr>
        <w:rPr>
          <w:rFonts w:ascii="Times New Roman" w:eastAsia="Times New Roman" w:hAnsi="Times New Roman" w:cs="Times New Roman"/>
          <w:lang w:val="de-DE"/>
        </w:rPr>
      </w:pPr>
      <w:r>
        <w:rPr>
          <w:lang w:val="de-DE"/>
        </w:rPr>
        <w:t>„</w:t>
      </w:r>
      <w:proofErr w:type="spellStart"/>
      <w:r w:rsidRPr="00F40B1B">
        <w:rPr>
          <w:i/>
          <w:lang w:val="de-DE"/>
        </w:rPr>
        <w:t>metanoeō</w:t>
      </w:r>
      <w:proofErr w:type="spellEnd"/>
      <w:r>
        <w:rPr>
          <w:lang w:val="de-DE"/>
        </w:rPr>
        <w:t xml:space="preserve"> umkehren, seinen Sinn ändern, Buße tun“ (1022)</w:t>
      </w:r>
    </w:p>
    <w:p w14:paraId="454F524D" w14:textId="5B7A1656" w:rsidR="00F40B1B" w:rsidRDefault="00F40B1B">
      <w:pPr>
        <w:rPr>
          <w:lang w:val="de-DE"/>
        </w:rPr>
      </w:pPr>
    </w:p>
    <w:p w14:paraId="390A2791" w14:textId="2D001C24" w:rsidR="00F40B1B" w:rsidRDefault="00F40B1B">
      <w:pPr>
        <w:rPr>
          <w:lang w:val="de-DE"/>
        </w:rPr>
      </w:pPr>
      <w:r>
        <w:rPr>
          <w:lang w:val="de-DE"/>
        </w:rPr>
        <w:t>„</w:t>
      </w:r>
      <w:proofErr w:type="spellStart"/>
      <w:r w:rsidRPr="00F40B1B">
        <w:rPr>
          <w:i/>
          <w:lang w:val="de-DE"/>
        </w:rPr>
        <w:t>metanoia</w:t>
      </w:r>
      <w:proofErr w:type="spellEnd"/>
      <w:r>
        <w:rPr>
          <w:lang w:val="de-DE"/>
        </w:rPr>
        <w:t xml:space="preserve"> Umkehr, Bekehrung, Buße“ (1022) </w:t>
      </w:r>
    </w:p>
    <w:p w14:paraId="2A57E625" w14:textId="77777777" w:rsidR="00F40B1B" w:rsidRDefault="00F40B1B">
      <w:pPr>
        <w:rPr>
          <w:lang w:val="de-DE"/>
        </w:rPr>
      </w:pPr>
    </w:p>
    <w:p w14:paraId="3F157E5F" w14:textId="2C5F2863" w:rsidR="00FA7DD2" w:rsidRDefault="00FA7DD2">
      <w:pPr>
        <w:rPr>
          <w:lang w:val="de-DE"/>
        </w:rPr>
      </w:pPr>
      <w:r>
        <w:rPr>
          <w:lang w:val="de-DE"/>
        </w:rPr>
        <w:t xml:space="preserve">„Im </w:t>
      </w:r>
      <w:proofErr w:type="spellStart"/>
      <w:r w:rsidRPr="00FA7DD2">
        <w:rPr>
          <w:i/>
          <w:lang w:val="de-DE"/>
        </w:rPr>
        <w:t>Griech</w:t>
      </w:r>
      <w:proofErr w:type="spellEnd"/>
      <w:r>
        <w:rPr>
          <w:lang w:val="de-DE"/>
        </w:rPr>
        <w:t>. ist das entscheidende semantische Merkmal von [</w:t>
      </w:r>
      <w:proofErr w:type="spellStart"/>
      <w:r>
        <w:rPr>
          <w:lang w:val="de-DE"/>
        </w:rPr>
        <w:t>metanoia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metanoe</w:t>
      </w:r>
      <w:bookmarkStart w:id="0" w:name="_GoBack"/>
      <w:r w:rsidR="00F40B1B" w:rsidRPr="00F40B1B">
        <w:rPr>
          <w:lang w:val="de-DE"/>
        </w:rPr>
        <w:t>ō</w:t>
      </w:r>
      <w:bookmarkEnd w:id="0"/>
      <w:proofErr w:type="spellEnd"/>
      <w:r>
        <w:rPr>
          <w:lang w:val="de-DE"/>
        </w:rPr>
        <w:t xml:space="preserve">] </w:t>
      </w:r>
      <w:proofErr w:type="gramStart"/>
      <w:r>
        <w:rPr>
          <w:lang w:val="de-DE"/>
        </w:rPr>
        <w:t>das</w:t>
      </w:r>
      <w:proofErr w:type="gramEnd"/>
      <w:r>
        <w:rPr>
          <w:lang w:val="de-DE"/>
        </w:rPr>
        <w:t xml:space="preserve"> der (Sinnes-)Änderung (sowohl zum Guten wie zum Bösen).“ (1024)</w:t>
      </w:r>
    </w:p>
    <w:p w14:paraId="369DCA12" w14:textId="77777777" w:rsidR="00FA7DD2" w:rsidRDefault="00FA7DD2">
      <w:pPr>
        <w:rPr>
          <w:lang w:val="de-DE"/>
        </w:rPr>
      </w:pPr>
    </w:p>
    <w:p w14:paraId="5E5DD9EC" w14:textId="77777777" w:rsidR="00FA7DD2" w:rsidRDefault="00B26888">
      <w:pPr>
        <w:rPr>
          <w:lang w:val="de-DE"/>
        </w:rPr>
      </w:pPr>
      <w:r>
        <w:rPr>
          <w:lang w:val="de-DE"/>
        </w:rPr>
        <w:t xml:space="preserve">Johannes der Täufer: „Umkehr meint demnach radikale Anerkennung Gottes“ (1026) </w:t>
      </w:r>
    </w:p>
    <w:p w14:paraId="517E1437" w14:textId="77777777" w:rsidR="00B26888" w:rsidRPr="00FA7DD2" w:rsidRDefault="00B26888">
      <w:pPr>
        <w:rPr>
          <w:lang w:val="de-DE"/>
        </w:rPr>
      </w:pPr>
      <w:r>
        <w:rPr>
          <w:lang w:val="de-DE"/>
        </w:rPr>
        <w:t xml:space="preserve">Jesus: „Wie Johannes verlangt Jesus Umkehr von allen ohne Ausnahme […]. Positiv verlangt Umkehr das Sich-Einlassen auf Jesu Wort und Tat“ (1026) </w:t>
      </w:r>
    </w:p>
    <w:sectPr w:rsidR="00B26888" w:rsidRPr="00FA7DD2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DD2"/>
    <w:rsid w:val="001231ED"/>
    <w:rsid w:val="00395CDE"/>
    <w:rsid w:val="0055526E"/>
    <w:rsid w:val="00635244"/>
    <w:rsid w:val="006E0AF6"/>
    <w:rsid w:val="00B26888"/>
    <w:rsid w:val="00F40B1B"/>
    <w:rsid w:val="00FA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D02425"/>
  <w14:defaultImageDpi w14:val="32767"/>
  <w15:chartTrackingRefBased/>
  <w15:docId w15:val="{8EED3585-6C5A-B34E-B077-9045F95DF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F40B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8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3</cp:revision>
  <dcterms:created xsi:type="dcterms:W3CDTF">2019-06-26T07:01:00Z</dcterms:created>
  <dcterms:modified xsi:type="dcterms:W3CDTF">2020-01-13T00:53:00Z</dcterms:modified>
</cp:coreProperties>
</file>