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A10DD2" w:rsidRDefault="00D325F9">
      <w:pPr>
        <w:rPr>
          <w:b/>
          <w:lang w:val="de-DE"/>
        </w:rPr>
      </w:pPr>
      <w:bookmarkStart w:id="0" w:name="_GoBack"/>
      <w:r w:rsidRPr="00A10DD2">
        <w:rPr>
          <w:b/>
          <w:lang w:val="de-DE"/>
        </w:rPr>
        <w:t xml:space="preserve">Gustav </w:t>
      </w:r>
      <w:proofErr w:type="spellStart"/>
      <w:r w:rsidRPr="00A10DD2">
        <w:rPr>
          <w:b/>
          <w:lang w:val="de-DE"/>
        </w:rPr>
        <w:t>Mensching</w:t>
      </w:r>
      <w:proofErr w:type="spellEnd"/>
      <w:r w:rsidRPr="00A10DD2">
        <w:rPr>
          <w:b/>
          <w:lang w:val="de-DE"/>
        </w:rPr>
        <w:t xml:space="preserve">: Das heilige Schweigen. Eine religionsgeschichtliche Untersuchung. </w:t>
      </w:r>
    </w:p>
    <w:p w:rsidR="00D52A71" w:rsidRPr="00A10DD2" w:rsidRDefault="00D325F9">
      <w:pPr>
        <w:rPr>
          <w:b/>
          <w:lang w:val="de-DE"/>
        </w:rPr>
      </w:pPr>
      <w:r w:rsidRPr="00A10DD2">
        <w:rPr>
          <w:b/>
          <w:lang w:val="de-DE"/>
        </w:rPr>
        <w:t xml:space="preserve">4. Kapitel: Das heilige Schweigen als religiöse Gleichmut. Gießen: Verlag von Alfred </w:t>
      </w:r>
      <w:proofErr w:type="spellStart"/>
      <w:r w:rsidRPr="00A10DD2">
        <w:rPr>
          <w:b/>
          <w:lang w:val="de-DE"/>
        </w:rPr>
        <w:t>Töpelmann</w:t>
      </w:r>
      <w:proofErr w:type="spellEnd"/>
      <w:r w:rsidRPr="00A10DD2">
        <w:rPr>
          <w:b/>
          <w:lang w:val="de-DE"/>
        </w:rPr>
        <w:t xml:space="preserve">, 1926. </w:t>
      </w:r>
    </w:p>
    <w:bookmarkEnd w:id="0"/>
    <w:p w:rsidR="00D325F9" w:rsidRPr="00D325F9" w:rsidRDefault="00D325F9">
      <w:pPr>
        <w:rPr>
          <w:lang w:val="de-DE"/>
        </w:rPr>
      </w:pPr>
    </w:p>
    <w:p w:rsidR="00D52A71" w:rsidRDefault="00D52A71">
      <w:pPr>
        <w:rPr>
          <w:lang w:val="de-DE"/>
        </w:rPr>
      </w:pPr>
      <w:r w:rsidRPr="00D52A71">
        <w:rPr>
          <w:lang w:val="de-DE"/>
        </w:rPr>
        <w:t xml:space="preserve">“5. Wir haben zum </w:t>
      </w:r>
      <w:proofErr w:type="spellStart"/>
      <w:r w:rsidRPr="00D52A71">
        <w:rPr>
          <w:lang w:val="de-DE"/>
        </w:rPr>
        <w:t>Schluß</w:t>
      </w:r>
      <w:proofErr w:type="spellEnd"/>
      <w:r w:rsidRPr="00D52A71">
        <w:rPr>
          <w:lang w:val="de-DE"/>
        </w:rPr>
        <w:t xml:space="preserve"> noch eine sonderbare Erscheinung zu betrachten, die zum Teil dieselben Ele</w:t>
      </w:r>
      <w:r>
        <w:rPr>
          <w:lang w:val="de-DE"/>
        </w:rPr>
        <w:t xml:space="preserve">mente enthält, wie die eben angegebenen, die wir aber als Gesamterscheinung würdigen wollen. Es handelt sich um das chinesische </w:t>
      </w:r>
      <w:r w:rsidRPr="00D52A71">
        <w:rPr>
          <w:i/>
          <w:lang w:val="de-DE"/>
        </w:rPr>
        <w:t>Wu-Wei</w:t>
      </w:r>
      <w:r>
        <w:rPr>
          <w:lang w:val="de-DE"/>
        </w:rPr>
        <w:t>.</w:t>
      </w:r>
    </w:p>
    <w:p w:rsidR="00D52A71" w:rsidRDefault="00D52A71">
      <w:pPr>
        <w:rPr>
          <w:lang w:val="de-DE"/>
        </w:rPr>
      </w:pPr>
      <w:r>
        <w:rPr>
          <w:lang w:val="de-DE"/>
        </w:rPr>
        <w:t xml:space="preserve">a) Das Gebot des </w:t>
      </w:r>
      <w:r w:rsidRPr="00D52A71">
        <w:rPr>
          <w:i/>
          <w:lang w:val="de-DE"/>
        </w:rPr>
        <w:t>Wu-Wei</w:t>
      </w:r>
      <w:r>
        <w:rPr>
          <w:lang w:val="de-DE"/>
        </w:rPr>
        <w:t xml:space="preserve"> verlangt von den Frommen des Taoismus völlige </w:t>
      </w:r>
      <w:r w:rsidRPr="00D52A71">
        <w:rPr>
          <w:i/>
          <w:lang w:val="de-DE"/>
        </w:rPr>
        <w:t>Leidenschaftslosigkeit</w:t>
      </w:r>
      <w:r>
        <w:rPr>
          <w:lang w:val="de-DE"/>
        </w:rPr>
        <w:t xml:space="preserve">: ‚Die Sucht nach Verstand – sie ist zügelloser Hang zum Äußerlichen. Die Sucht nach Vernunft – sie führt zu unzüchtigem Hang am Schall. Die Sucht nach Menschenliebe – sie schafft Wirrwarr in der Tugendübung. Die Sucht nach Pflichterfüllung – sie bedeutet Auflehnung gegen die natürlichen Gesetze. Die Sucht nach Erfüllung der Lebensregeln – sie führt zur Künstlichkeit. Die Sucht nach Musik – sie führt zu Unsitten. Die Sucht nach Heiligkeit – sie führt zu künstlicher Fertigkeit. Die Sucht nach Wissen – sie führt zu Haarspalterei. Wenn die Menschen unter dem Himmel diese acht Leidenschaften ihrer Natur nicht unterdrücken, so wird alles unter dem Himmel in Unordnung geraten, denn die ganze Welt wird beginnen, sie derartig bis </w:t>
      </w:r>
      <w:proofErr w:type="spellStart"/>
      <w:r>
        <w:rPr>
          <w:lang w:val="de-DE"/>
        </w:rPr>
        <w:t>auf’s</w:t>
      </w:r>
      <w:proofErr w:type="spellEnd"/>
      <w:r>
        <w:rPr>
          <w:lang w:val="de-DE"/>
        </w:rPr>
        <w:t xml:space="preserve"> Äußerste zu schätzen und zu pflegen, </w:t>
      </w:r>
      <w:proofErr w:type="spellStart"/>
      <w:r>
        <w:rPr>
          <w:lang w:val="de-DE"/>
        </w:rPr>
        <w:t>daß</w:t>
      </w:r>
      <w:proofErr w:type="spellEnd"/>
      <w:r>
        <w:rPr>
          <w:lang w:val="de-DE"/>
        </w:rPr>
        <w:t xml:space="preserve"> alle Welt </w:t>
      </w:r>
      <w:proofErr w:type="gramStart"/>
      <w:r>
        <w:rPr>
          <w:lang w:val="de-DE"/>
        </w:rPr>
        <w:t>irre wird</w:t>
      </w:r>
      <w:proofErr w:type="gramEnd"/>
      <w:r>
        <w:rPr>
          <w:lang w:val="de-DE"/>
        </w:rPr>
        <w:t xml:space="preserve">. Der Edle wird darum, wenn möglich, die fünf in ihm verborgenen Tugenden nicht äußerlich entfalten und seiner Vernunft keine Vorzüge gönnen, er wird sich </w:t>
      </w:r>
      <w:r w:rsidRPr="00D52A71">
        <w:rPr>
          <w:i/>
          <w:lang w:val="de-DE"/>
        </w:rPr>
        <w:t>regungslos</w:t>
      </w:r>
      <w:r>
        <w:rPr>
          <w:lang w:val="de-DE"/>
        </w:rPr>
        <w:t xml:space="preserve"> verhalten. … Er wird in </w:t>
      </w:r>
      <w:r w:rsidRPr="00D52A71">
        <w:rPr>
          <w:i/>
          <w:lang w:val="de-DE"/>
        </w:rPr>
        <w:t>Schweigen</w:t>
      </w:r>
      <w:r>
        <w:rPr>
          <w:lang w:val="de-DE"/>
        </w:rPr>
        <w:t xml:space="preserve"> versunken sein. … Seine Götterkraft wird wirken und der Himmel wird bei ihm bleiben, während er in Ruhe und Wu-Wei verweilt, werden die hunderttausend Wesen wachsen und gedeihen.‘ [</w:t>
      </w:r>
      <w:proofErr w:type="spellStart"/>
      <w:r>
        <w:rPr>
          <w:lang w:val="de-DE"/>
        </w:rPr>
        <w:t>Tsuang</w:t>
      </w:r>
      <w:proofErr w:type="spellEnd"/>
      <w:r>
        <w:rPr>
          <w:lang w:val="de-DE"/>
        </w:rPr>
        <w:t xml:space="preserve"> Tse Buch 4 bzw. Kap. 11 bei De </w:t>
      </w:r>
      <w:proofErr w:type="spellStart"/>
      <w:r>
        <w:rPr>
          <w:lang w:val="de-DE"/>
        </w:rPr>
        <w:t>Groot</w:t>
      </w:r>
      <w:proofErr w:type="spellEnd"/>
      <w:r>
        <w:rPr>
          <w:lang w:val="de-DE"/>
        </w:rPr>
        <w:t xml:space="preserve"> S. 54]</w:t>
      </w:r>
    </w:p>
    <w:p w:rsidR="00D52A71" w:rsidRDefault="00D52A71">
      <w:pPr>
        <w:rPr>
          <w:lang w:val="de-DE"/>
        </w:rPr>
      </w:pPr>
      <w:r>
        <w:rPr>
          <w:lang w:val="de-DE"/>
        </w:rPr>
        <w:t xml:space="preserve">b) Was aber das Eigentümliche dieses Gebots bildet, ist die Forderung der Aufhebung alles </w:t>
      </w:r>
      <w:proofErr w:type="spellStart"/>
      <w:r w:rsidRPr="00D52A71">
        <w:rPr>
          <w:i/>
          <w:lang w:val="de-DE"/>
        </w:rPr>
        <w:t>bewußten</w:t>
      </w:r>
      <w:proofErr w:type="spellEnd"/>
      <w:r w:rsidRPr="00D52A71">
        <w:rPr>
          <w:i/>
          <w:lang w:val="de-DE"/>
        </w:rPr>
        <w:t xml:space="preserve"> Tuns</w:t>
      </w:r>
      <w:r>
        <w:rPr>
          <w:lang w:val="de-DE"/>
        </w:rPr>
        <w:t>. Man soll handeln, als handelte man nicht“ (39)</w:t>
      </w:r>
    </w:p>
    <w:p w:rsidR="00D52A71" w:rsidRDefault="00D52A71">
      <w:pPr>
        <w:rPr>
          <w:lang w:val="de-DE"/>
        </w:rPr>
      </w:pPr>
      <w:r>
        <w:rPr>
          <w:lang w:val="de-DE"/>
        </w:rPr>
        <w:t xml:space="preserve">„c) Wer so in dieser eigentümlichen tätigen Tatenlosigkeit sich übt, ist gleichsam mit Kraft erfüllt. Er übt die Schweigsamkeit, ohne </w:t>
      </w:r>
      <w:proofErr w:type="spellStart"/>
      <w:r>
        <w:rPr>
          <w:lang w:val="de-DE"/>
        </w:rPr>
        <w:t>daß</w:t>
      </w:r>
      <w:proofErr w:type="spellEnd"/>
      <w:r>
        <w:rPr>
          <w:lang w:val="de-DE"/>
        </w:rPr>
        <w:t xml:space="preserve"> doch dies Schweigen ein Zeichen von Unwissenheit ist. </w:t>
      </w:r>
      <w:r w:rsidR="00D325F9">
        <w:rPr>
          <w:lang w:val="de-DE"/>
        </w:rPr>
        <w:t xml:space="preserve">Vielmehr gilt der Grundsatz, </w:t>
      </w:r>
      <w:proofErr w:type="spellStart"/>
      <w:r w:rsidR="00D325F9">
        <w:rPr>
          <w:lang w:val="de-DE"/>
        </w:rPr>
        <w:t>daß</w:t>
      </w:r>
      <w:proofErr w:type="spellEnd"/>
      <w:r w:rsidR="00D325F9">
        <w:rPr>
          <w:lang w:val="de-DE"/>
        </w:rPr>
        <w:t xml:space="preserve"> gerade die Redenden die Unwissenden sind und die Schweigenden die Wissenden“ (40) </w:t>
      </w:r>
    </w:p>
    <w:p w:rsidR="00D325F9" w:rsidRDefault="00D325F9">
      <w:pPr>
        <w:rPr>
          <w:lang w:val="de-DE"/>
        </w:rPr>
      </w:pPr>
      <w:r>
        <w:rPr>
          <w:lang w:val="de-DE"/>
        </w:rPr>
        <w:t>„</w:t>
      </w:r>
      <w:r w:rsidRPr="00D325F9">
        <w:rPr>
          <w:i/>
          <w:lang w:val="de-DE"/>
        </w:rPr>
        <w:t>Wu-Wei</w:t>
      </w:r>
      <w:r>
        <w:rPr>
          <w:lang w:val="de-DE"/>
        </w:rPr>
        <w:t xml:space="preserve"> ist </w:t>
      </w:r>
      <w:r w:rsidRPr="00D325F9">
        <w:rPr>
          <w:i/>
          <w:lang w:val="de-DE"/>
        </w:rPr>
        <w:t>Schweigen</w:t>
      </w:r>
      <w:r>
        <w:rPr>
          <w:lang w:val="de-DE"/>
        </w:rPr>
        <w:t xml:space="preserve">, aber darum doch kein Aufhören jeder Mitteilung, vielmehr </w:t>
      </w:r>
      <w:r w:rsidRPr="00D325F9">
        <w:rPr>
          <w:i/>
          <w:lang w:val="de-DE"/>
        </w:rPr>
        <w:t>ein Reden im Schweigen und ein Schweigen im Reden</w:t>
      </w:r>
      <w:r>
        <w:rPr>
          <w:lang w:val="de-DE"/>
        </w:rPr>
        <w:t>.“ (41)</w:t>
      </w:r>
    </w:p>
    <w:p w:rsidR="00D325F9" w:rsidRPr="00D325F9" w:rsidRDefault="00D325F9">
      <w:pPr>
        <w:rPr>
          <w:lang w:val="de-DE"/>
        </w:rPr>
      </w:pPr>
      <w:r>
        <w:rPr>
          <w:lang w:val="de-DE"/>
        </w:rPr>
        <w:t>„</w:t>
      </w:r>
      <w:r w:rsidRPr="00D325F9">
        <w:rPr>
          <w:i/>
          <w:lang w:val="de-DE"/>
        </w:rPr>
        <w:t>Wu-Wei</w:t>
      </w:r>
      <w:r>
        <w:rPr>
          <w:lang w:val="de-DE"/>
        </w:rPr>
        <w:t xml:space="preserve"> ist </w:t>
      </w:r>
      <w:proofErr w:type="spellStart"/>
      <w:r>
        <w:rPr>
          <w:lang w:val="de-DE"/>
        </w:rPr>
        <w:t>Nichttun</w:t>
      </w:r>
      <w:proofErr w:type="spellEnd"/>
      <w:r>
        <w:rPr>
          <w:lang w:val="de-DE"/>
        </w:rPr>
        <w:t xml:space="preserve">, aber dennoch erlangt man auf dem Wege des </w:t>
      </w:r>
      <w:r w:rsidRPr="00D325F9">
        <w:rPr>
          <w:i/>
          <w:lang w:val="de-DE"/>
        </w:rPr>
        <w:t>Wu-</w:t>
      </w:r>
      <w:r>
        <w:rPr>
          <w:i/>
          <w:lang w:val="de-DE"/>
        </w:rPr>
        <w:t>Wei</w:t>
      </w:r>
      <w:r>
        <w:rPr>
          <w:lang w:val="de-DE"/>
        </w:rPr>
        <w:t xml:space="preserve"> die Fähigkeit zu allem Tun.“ (41) </w:t>
      </w:r>
    </w:p>
    <w:sectPr w:rsidR="00D325F9" w:rsidRPr="00D325F9"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A71"/>
    <w:rsid w:val="001231ED"/>
    <w:rsid w:val="00395CDE"/>
    <w:rsid w:val="0055526E"/>
    <w:rsid w:val="00635244"/>
    <w:rsid w:val="006E0AF6"/>
    <w:rsid w:val="00A10DD2"/>
    <w:rsid w:val="00D325F9"/>
    <w:rsid w:val="00D52A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C44F27AF-C5A1-744C-BC21-775F53F0F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2A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2020-01-01T15:48:00Z</dcterms:created>
  <dcterms:modified xsi:type="dcterms:W3CDTF">2020-01-01T16:07:00Z</dcterms:modified>
</cp:coreProperties>
</file>