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4CDC" w:rsidRDefault="00A24CDC" w:rsidP="00A24CDC">
      <w:pPr>
        <w:pStyle w:val="BodyText"/>
      </w:pPr>
      <w:r>
        <w:t xml:space="preserve">Mose ben Maimon: </w:t>
      </w:r>
      <w:r>
        <w:rPr>
          <w:i/>
          <w:iCs/>
        </w:rPr>
        <w:t>Führer der Unschlüssigen. Übersetzung und Kommentar von Adolf Weiß. Mit einer Einleitung von Johann Maier</w:t>
      </w:r>
      <w:r>
        <w:t>. Hamburg: Felix Meiner, 1995.</w:t>
      </w:r>
    </w:p>
    <w:p w:rsidR="00A24CDC" w:rsidRDefault="00A24CDC" w:rsidP="00A24CDC"/>
    <w:p w:rsidR="00A24CDC" w:rsidRDefault="00A24CDC" w:rsidP="00A24CDC">
      <w:pPr>
        <w:pStyle w:val="Heading1"/>
      </w:pPr>
      <w:r>
        <w:t>Erstes Buch</w:t>
      </w:r>
    </w:p>
    <w:p w:rsidR="00A24CDC" w:rsidRDefault="00A24CDC" w:rsidP="00A24CDC">
      <w:r>
        <w:t>Einleitung</w:t>
      </w:r>
    </w:p>
    <w:p w:rsidR="00A24CDC" w:rsidRDefault="00A24CDC" w:rsidP="00A24CDC">
      <w:r>
        <w:t>„Aus diesem Gleichnis geht für uns als Hauptgedanke die Warnung hervor, sich den körperlichen Begierden und Genüssen nicht hinzugeben, und die Materie, die die Ursache aller dieser leiblichen Begierden ist, vergleicht der Dichter [Spr. 7, 6-23] mit einer Buhldirne, die noch dazu eines Mannes Weib ist. Und auf dieses Gleichnis hat er sein ganzes Buch aufgebaut. In einzelnen Kapiteln des vorliegenden Werkes werde ich zeigen, wie weise der Vergleich der Materie mit dem verheirateten Hurenweibe ist und wie der Dichter sein Buch mit dem Lobe des Weibes beendet, das nicht buhlt, sondern sich mit der Instandhaltung des Hauses und der Pflege der Interessen seines Gatten begnügt. Daß aber alle Hindernisse, die den Menschen von der Erreichung seiner letzten Vollkommenheit abhalten, sowie alle Mängel und sittlichen Verfehlungen, die dem Menschen zustoßen, ihm allein durch seine Materie widerfahren, werde ich in diesem Buche nachweisen. Die in dem ganzen Gleichnis enthaltene Lehre ist nämlich die, daß der Mensch nicht seiner Tierheit allein, nämlich seiner Materie, folgen darf, da die nächste Materie des Menschen dieselbe ist, wie die aller Lebewesen.“ (16)</w:t>
      </w:r>
    </w:p>
    <w:p w:rsidR="00A24CDC" w:rsidRDefault="00A24CDC" w:rsidP="00A24CDC"/>
    <w:p w:rsidR="00A24CDC" w:rsidRDefault="00A24CDC" w:rsidP="00A24CDC">
      <w:r>
        <w:t>29. Kapitel</w:t>
      </w:r>
    </w:p>
    <w:p w:rsidR="00A24CDC" w:rsidRDefault="00A24CDC" w:rsidP="00A24CDC">
      <w:r>
        <w:t>„[...] weil die Materie, wie du weißt, stets nur empfängt und ihrer Natur gemäß leidend ist, während ihr die Tätigkeit nur als Akzidens zukommt, ebenso wie die Form vermöge ihres Wesens immer tätig ist und nur durch Zufall leidend sein kann, wie in den Büchern der Physik erläutert wird.“ (82)</w:t>
      </w:r>
    </w:p>
    <w:p w:rsidR="00A24CDC" w:rsidRDefault="00A24CDC" w:rsidP="00A24CDC">
      <w:r>
        <w:t xml:space="preserve">„Da jedoch der durchsichtige Körper aller dieser Farben entbehrt, nimmt er sie alle, eine nach der anderen, in sich auf und gleicht in dieser Hinsicht der ersten Materie, welche, wenn man sie nach ihrem wahren Wesen betrachtet, aller Formen ermangelt, und deshalb alle Formen nacheinander annimmt.“ (83) </w:t>
      </w:r>
    </w:p>
    <w:p w:rsidR="00A24CDC" w:rsidRDefault="00A24CDC" w:rsidP="00A24CDC"/>
    <w:p w:rsidR="00A24CDC" w:rsidRDefault="00A24CDC" w:rsidP="00A24CDC">
      <w:r>
        <w:t>40. Kapitel</w:t>
      </w:r>
    </w:p>
    <w:p w:rsidR="00A24CDC" w:rsidRDefault="00A24CDC" w:rsidP="00A24CDC">
      <w:r>
        <w:t>„[...] (ruach, Odem, Geist) ist ein Wort von mehrfacher Bedeutung. [...] Es bezeichnet ferner den Lebensodem, z.B. ‚Ein Hauch ([...], ruach), der dahingeht und nicht wiederkehrt’ (Ps. 78, 37); ‚In welchem Lebensodem ([...], ruach) ist’ (Gen. 7, 15). Es bezeichnet aber auch das Ding, das vom Menschen nach seinem Tode übrig bleibt und von keinem Aufhören betroffen wird, z.B. ‚Der Geist ([...], w’haruach) kehrt zu Gott zurück, der ihn gegeben hat’ (Pred. 12, 7). Es bedeutet ferner auch die Emanation der göttlichen [124] Vernunft, die er auf die Propheten ergießt und durch die sie weissagen,“ (123)</w:t>
      </w:r>
    </w:p>
    <w:p w:rsidR="00A24CDC" w:rsidRDefault="00A24CDC" w:rsidP="00A24CDC"/>
    <w:p w:rsidR="00A24CDC" w:rsidRDefault="00A24CDC" w:rsidP="00A24CDC">
      <w:r>
        <w:t>41. Kapitel</w:t>
      </w:r>
    </w:p>
    <w:p w:rsidR="00A24CDC" w:rsidRDefault="00A24CDC" w:rsidP="00A24CDC">
      <w:r>
        <w:t xml:space="preserve">„[...] (nephesch, Odem, Seele) ist ein Wort von mehrfacher Bedeutung. Es ist die Bezeichnung des Lebensodems, welcher allen empfindsamen Wesen gemeinsam ist, z.B. ‚In welchem eine lebende Seele ([...], nephesch) ist’ (Gen. 1, 30), aber auch die Bezeichnung des Blutes, z.B. ‚Du sollst nicht das Blut [...] ([...], hannephesch) mit dem Fleische essen’ (Deut. 12, 23). Es ist ferner </w:t>
      </w:r>
      <w:r>
        <w:lastRenderedPageBreak/>
        <w:t>die Bezeichnung der vernünftigen Seele</w:t>
      </w:r>
      <w:r>
        <w:rPr>
          <w:rStyle w:val="FootnoteReference"/>
        </w:rPr>
        <w:footnoteReference w:id="1"/>
      </w:r>
      <w:r>
        <w:t>, nämlich der Form des Menschen, wie in dem Ausspruch: ‚So wahr der Herr lebt, der uns diese Seele ([...], hannephesch) erschaffen hat’ (Jirm. 38, 16). Es ist ferner der Name des Dinges, das vom Menschen nach seinem Tode übrig bleibt, wie in dem Ausspruch: ‚Die Seele ([...], nephesch) meines Herrn wird eingebunden sein im Bunde der Lebenden’ (1. Sam. 15, 29).“ (124)</w:t>
      </w:r>
    </w:p>
    <w:p w:rsidR="00A24CDC" w:rsidRDefault="00A24CDC" w:rsidP="00A24CDC"/>
    <w:p w:rsidR="00A24CDC" w:rsidRDefault="00A24CDC" w:rsidP="00A24CDC">
      <w:r>
        <w:t>68. Kapitel</w:t>
      </w:r>
    </w:p>
    <w:p w:rsidR="00A24CDC" w:rsidRDefault="00A24CDC" w:rsidP="00A24CDC">
      <w:r>
        <w:t>„Es ist also klar, daß, wenn das Denken, der Denkende und das Gedachte der Zahl nach Eines sind, dies nicht von Gott allein, sondern von jedem Vernunftwesen gilt, so daß auch in uns, wenn wir einen Intellekt der Wirklichkeit nach haben, das Denken, das Denkende und das Gedachte nur Eines sind. Allein wir gehen nur zeitweilig aus dem Denken dem Vermögen nach zum Denken in Wirklichkeit über. Aber ebenso erfährt auch das stofflose Vernunftwesen, nämlich die wirkende Vernunft</w:t>
      </w:r>
      <w:r>
        <w:rPr>
          <w:rStyle w:val="FootnoteReference"/>
        </w:rPr>
        <w:footnoteReference w:id="2"/>
      </w:r>
      <w:r>
        <w:t xml:space="preserve">, manchmal [261] eine Verhinderung seiner Wirksamkeit; wenn auch dieses Hindernis nicht von seinem Wesen herrührt, sondern von etwas außer ihm, so ist es doch immerhin ein zufälliges Hindernis für dieses Vernunftwesen.“ (260) </w:t>
      </w:r>
    </w:p>
    <w:p w:rsidR="00A24CDC" w:rsidRDefault="00A24CDC" w:rsidP="00A24CDC"/>
    <w:p w:rsidR="00A24CDC" w:rsidRDefault="00A24CDC" w:rsidP="00A24CDC">
      <w:r>
        <w:t>70. Kapitel</w:t>
      </w:r>
    </w:p>
    <w:p w:rsidR="00A24CDC" w:rsidRDefault="00A24CDC" w:rsidP="00A24CDC">
      <w:r>
        <w:t>„Denn die Seelen, die nach dem Tode fortbestehen, sind nicht die Seelen, die im Menschen zugleich mit seinem Werden entsteht; denn diese letztere ist nur ein Vermögen, eine bloße Anlage</w:t>
      </w:r>
      <w:r>
        <w:rPr>
          <w:rStyle w:val="FootnoteReference"/>
        </w:rPr>
        <w:footnoteReference w:id="3"/>
      </w:r>
      <w:r>
        <w:t>; hingegen ist das Ding, das sich nach dem Tode absondert, das zur Wirklichkeit gewordene Ding</w:t>
      </w:r>
      <w:r>
        <w:rPr>
          <w:rStyle w:val="FootnoteReference"/>
        </w:rPr>
        <w:footnoteReference w:id="4"/>
      </w:r>
      <w:r>
        <w:t xml:space="preserve">. Ebenso ist auch die werdende Seele keineswegs der werdende Geist. Deshalb zählen sie unter die werdenden Dinge Seelen </w:t>
      </w:r>
      <w:r>
        <w:rPr>
          <w:i/>
          <w:iCs/>
        </w:rPr>
        <w:t>und</w:t>
      </w:r>
      <w:r>
        <w:t xml:space="preserve"> Geister; aber die nach dem Tode abgesonderten Geister sind nur ein einziges Ding.“ (276)</w:t>
      </w:r>
    </w:p>
    <w:p w:rsidR="00A24CDC" w:rsidRDefault="00A24CDC" w:rsidP="00A24CDC"/>
    <w:p w:rsidR="00A24CDC" w:rsidRDefault="00A24CDC" w:rsidP="00A24CDC">
      <w:r>
        <w:t>72. Kapitel</w:t>
      </w:r>
    </w:p>
    <w:p w:rsidR="00A24CDC" w:rsidRDefault="00A24CDC" w:rsidP="00A24CDC">
      <w:r>
        <w:t>„Das Seiende in seiner Gesamtheit ist schlechterdings nichts anderes als ein Individuum; nämlich die Kugel der äußersten Sphäre samt allem, was darin ist, ist ohne Zweifel ein einziges, [298] einheitliches Ding, so wie Ruben oder Simeon in der Gattung der Männer, und die Mannigfaltigkeit seiner Wesen, nämlich der Wesen, welche diese Kugel in sich enthält, entspricht der Mannigfaltigkeit der Substanzen,“ (297)</w:t>
      </w:r>
    </w:p>
    <w:p w:rsidR="00A24CDC" w:rsidRDefault="00A24CDC" w:rsidP="00A24CDC">
      <w:r>
        <w:t>„und jede Seele, die in irgend einem Beseelten in der Welt vorhanden ist, in der Seele der Sphären ihren Ursprung hat.“ (303)</w:t>
      </w:r>
    </w:p>
    <w:p w:rsidR="00A24CDC" w:rsidRDefault="00A24CDC" w:rsidP="00A24CDC">
      <w:r>
        <w:lastRenderedPageBreak/>
        <w:t>„Du mußt dir also diese Kugel als ein einziges, lebendes, bewegtes und beseeltes Individuum vorstellen,“ (304)</w:t>
      </w:r>
    </w:p>
    <w:p w:rsidR="00A24CDC" w:rsidRDefault="00A24CDC" w:rsidP="00A24CDC">
      <w:r>
        <w:t xml:space="preserve">„Und so wie beim Menschen es </w:t>
      </w:r>
      <w:r>
        <w:rPr>
          <w:i/>
          <w:iCs/>
        </w:rPr>
        <w:t>eine</w:t>
      </w:r>
      <w:r>
        <w:t xml:space="preserve"> Kraft ist, die seine Organe aneinanderknüpft und leitet und jedem Organ das gibt, dessen es zur Erhaltung seines Wohlbefindens und zur Verhütung dessen, was ihm schädlich ist, bedarf – und diese Kraft ist es, die die Ärzte als die leitende</w:t>
      </w:r>
      <w:r>
        <w:rPr>
          <w:rStyle w:val="FootnoteReference"/>
        </w:rPr>
        <w:footnoteReference w:id="5"/>
      </w:r>
      <w:r>
        <w:t xml:space="preserve"> im Körper des Lebenden bezeichnen und die sie meist seine Natur nennen</w:t>
      </w:r>
      <w:r>
        <w:rPr>
          <w:rStyle w:val="FootnoteReference"/>
        </w:rPr>
        <w:footnoteReference w:id="6"/>
      </w:r>
      <w:r>
        <w:t>, – so ist in dem Weltall in seiner Gesamtheit eine Kraft, die einen Teil mit dem anderen verknüpft und seine Arten vor dem Untergang behütet und auch die Einzelwesen seiner Arten, so lange ihre Erhaltung möglich ist, und auch manche der Weltindividuen, nämlich die Sphären, erhält. Es bedarf allerdings noch der Untersuchung, ob diese Kraft durch die Vermittlung der Sphäre wirkt oder nicht.“ (306)</w:t>
      </w:r>
    </w:p>
    <w:p w:rsidR="00A24CDC" w:rsidRDefault="00A24CDC" w:rsidP="00A24CDC">
      <w:r>
        <w:t>„Drittens ist das rationelle Vermögen eine körperliche Kraft</w:t>
      </w:r>
      <w:r>
        <w:rPr>
          <w:rStyle w:val="FootnoteReference"/>
        </w:rPr>
        <w:footnoteReference w:id="7"/>
      </w:r>
      <w:r>
        <w:t xml:space="preserve"> und nichts vom Körper Verschiedenes. Gott aber ist nicht eine Kraft im Körper der Welt, sondern durchaus von allen Teilen der Welt verschieden;“ (312)</w:t>
      </w:r>
    </w:p>
    <w:p w:rsidR="00A24CDC" w:rsidRDefault="00A24CDC" w:rsidP="00A24CDC">
      <w:r>
        <w:t xml:space="preserve">„Wir müssen aber das Verhältnis Gottes zur Welt als ein solche [sic] auffassen, welches dem der in den Besitz des Menschen übergegangenen und abgesonderten Vernunft entspricht. Dieses ist gleichfalls keine Kraft im Körper, sondern durchaus vom Körper verschieden und ihm durch die Emanation verliehen. Man könnte allerdings auch das rationelle Vermögen mit der Vernunft der Sphären, die in den Körpern ist, vergleichen. Allein die Vernunft der Sphären, das Dasein der stofflosen Vernunftwesen und die Vorstellung, daß die in den Besitz des Menschen übergegangene und abgesonderte Vernunft etwas Stoffloses ist, sind gleichfalls Dinge, die des Studiums und der Untersuchung bedürfen, und sind, wenn auch [314] wahr, doch schwer zu beweisen,“ (313) </w:t>
      </w:r>
    </w:p>
    <w:p w:rsidR="00A24CDC" w:rsidRDefault="00A24CDC" w:rsidP="00A24CDC">
      <w:r>
        <w:t>„</w:t>
      </w:r>
      <w:r>
        <w:rPr>
          <w:i/>
          <w:iCs/>
        </w:rPr>
        <w:t>Anmerkung</w:t>
      </w:r>
      <w:r>
        <w:t>. Wenn du, Leser dieses Buches, die Seele und ihre Kräfte kennst und das wahre Wesen von allem begriffen [348] hast, was sie betrifft, wirst du wissen, daß die meisten Tiere die Einbildungskraft besitzen. Allerdings ist bei allen vollkommenen Tieren, nämlich bei denen, die ein Herz haben, das Vorhandensein der Einbildungskraft offenbar einleuchtend. Ebenso ist klar, daß der Mensch sich nicht durch die Einbildungskraft von den übrigen Lebewesen unterscheidet, und daß die Tätigkeit der Einbildungskraft nicht die gleiche, sondern das Gegenteil der des Denkens ist.“ (347)</w:t>
      </w:r>
    </w:p>
    <w:p w:rsidR="00A24CDC" w:rsidRDefault="00A24CDC" w:rsidP="00A24CDC"/>
    <w:p w:rsidR="00A24CDC" w:rsidRDefault="00A24CDC" w:rsidP="00A24CDC">
      <w:r>
        <w:t>74. Kapitel</w:t>
      </w:r>
    </w:p>
    <w:p w:rsidR="00A24CDC" w:rsidRDefault="00A24CDC" w:rsidP="00A24CDC">
      <w:r>
        <w:t>„Du aber mußt wissen, daß man sich [373] diese stofflosen Wesen, die nämlich weder Körper noch in einem Körper wirkende Kräfte sind</w:t>
      </w:r>
      <w:r>
        <w:rPr>
          <w:rStyle w:val="FootnoteReference"/>
        </w:rPr>
        <w:footnoteReference w:id="8"/>
      </w:r>
      <w:r>
        <w:t>, sondern reine Vernunftwesen, schlechterdings und in keiner Weise so vorstellen darf, als gäbe es in ihnen eine Vielheit</w:t>
      </w:r>
      <w:r>
        <w:rPr>
          <w:rStyle w:val="FootnoteReference"/>
        </w:rPr>
        <w:footnoteReference w:id="9"/>
      </w:r>
      <w:r>
        <w:t>, außer wenn die einen die Ursache des Daseins der anderen wären. Dann würde diese Unterscheidung zutreffen, indem das eine Ursache, das andere Verursachtes wäre</w:t>
      </w:r>
      <w:r>
        <w:rPr>
          <w:rStyle w:val="FootnoteReference"/>
        </w:rPr>
        <w:footnoteReference w:id="10"/>
      </w:r>
      <w:r>
        <w:t xml:space="preserve">. Das Ding aber, das von Ruben fortdauert, ist nicht </w:t>
      </w:r>
      <w:r>
        <w:lastRenderedPageBreak/>
        <w:t>Ursache und nicht Verursachtes dessen, was von Simeon fortdauert. Somit müssen alle fortdauernden Seelen, wie Abu Bekr Ibn al Zaig bewiesen hat, er und andere, [374] die es gewagt haben über diese dunklen Fragen zu reden, der Zahl nach Eins sein.“ (373)</w:t>
      </w:r>
    </w:p>
    <w:p w:rsidR="00A24CDC" w:rsidRDefault="00A24CDC" w:rsidP="00A24CDC"/>
    <w:p w:rsidR="00A24CDC" w:rsidRDefault="00A24CDC" w:rsidP="00A24CDC">
      <w:pPr>
        <w:pStyle w:val="Heading1"/>
      </w:pPr>
      <w:r>
        <w:t>Zweites Buch</w:t>
      </w:r>
    </w:p>
    <w:p w:rsidR="00A24CDC" w:rsidRDefault="00A24CDC" w:rsidP="00A24CDC">
      <w:r>
        <w:t>Philosophische Leitsätze</w:t>
      </w:r>
    </w:p>
    <w:p w:rsidR="00A24CDC" w:rsidRDefault="00A24CDC" w:rsidP="00A24CDC">
      <w:r>
        <w:t>„5. Jede Bewegung ist Veränderung und Übergang aus der Möglichkeit zur Wirklichkeit.“ (5)</w:t>
      </w:r>
    </w:p>
    <w:p w:rsidR="00A24CDC" w:rsidRDefault="00A24CDC" w:rsidP="00A24CDC">
      <w:r>
        <w:t>„11. Einige Dinge, die im Körper bestehen, werden bei der Teilung des Körpers mit diesem geteilt und sind infolge eintretender Zwischenfälle teilbar wie die Farben oder die übrigen im ganzen Körper verbreitenden Vermögen. Ebenso sind andere, die den Bestand des Körpers bewirken, schlechterdings unteilbar wie die Seele und die Vernunft.“ (8)</w:t>
      </w:r>
    </w:p>
    <w:p w:rsidR="00A24CDC" w:rsidRDefault="00A24CDC" w:rsidP="00A24CDC">
      <w:r>
        <w:t>„18. Wenn etwas aus dem Möglichen zum Wirklichen übergeht, wird dies durch etwas außer ihm bewirkt</w:t>
      </w:r>
      <w:r>
        <w:rPr>
          <w:rStyle w:val="FootnoteReference"/>
        </w:rPr>
        <w:footnoteReference w:id="11"/>
      </w:r>
      <w:r>
        <w:t>, und zwar muß dies notwendig außer ihm sein. Denn wäre es in ihm und es gäbe kein Hindernis, so könnte es niemals als Vermögen, sondern müßte immerfort wirklich sein. Wäre es aber in ihm und es gäbe ein Hindernis, so müßte unzweifelhaft dasjenige, welches das Hindernis beseitigte, auch seinen Übergang aus der Möglichkeit in die Wirklichkeit herbeiführen. Beachte dies!“ (12)</w:t>
      </w:r>
    </w:p>
    <w:p w:rsidR="00A24CDC" w:rsidRDefault="00A24CDC" w:rsidP="00A24CDC">
      <w:r>
        <w:t>„19. Alles, dessen Dasein eine Ursache hat, besitzt ein in [13] Hinsicht auf seine Wesenheit mögliches Dasein. Es ist da, wenn seine Ursachen da sind, es ist jedoch nicht da, wenn sie nicht vorhanden sind oder vorhanden zu sein aufhören oder ihr Einfluß, der sein Dasein bewirkt, aufhört.“ (12)</w:t>
      </w:r>
    </w:p>
    <w:p w:rsidR="00A24CDC" w:rsidRDefault="00A24CDC" w:rsidP="00A24CDC">
      <w:r>
        <w:t>„23. Was als Möglichkeit besteht und in dessen Wesenheit es irgendeine Möglichkeit gibt, kann zu einer gewissen Zeit nicht wirklich vorhanden sein. [15]</w:t>
      </w:r>
    </w:p>
    <w:p w:rsidR="00A24CDC" w:rsidRDefault="00A24CDC" w:rsidP="00A24CDC">
      <w:r>
        <w:t>24. Das dem Vermögen nach Bestehende muß notwendig einen Stoff besitzen, denn das Mögliche ist immer in dem Stoffe.</w:t>
      </w:r>
    </w:p>
    <w:p w:rsidR="00A24CDC" w:rsidRDefault="00A24CDC" w:rsidP="00A24CDC">
      <w:r>
        <w:t>25. Die Ursachen des zusammengesetzten Einzelwesens [16] sind der Stoff und die Form, die ohne einen Urheber, nämlich ohne einen Beweger, nicht denkbar sind, der das zugrunde liegende Ding bewegte, bis es vorbereitet war, die Form anzunehmen, und zwar ist derjenige, der den Stoff eines Einzeldinges</w:t>
      </w:r>
      <w:r>
        <w:rPr>
          <w:rStyle w:val="FootnoteReference"/>
        </w:rPr>
        <w:footnoteReference w:id="12"/>
      </w:r>
      <w:r>
        <w:t xml:space="preserve"> bereitet, der nächste (unmittelbare Beweger). Daraus ergibt sich die Notwendigkeit, nach der Bewegung, nach dem Bewegenden und nach dem Bewegten zu forschen. Über dies alles hat bereits, soviel als nötig war, Aristoteles Aufschluß gegeben, dessen Ansicht dahin geht, daß der Stoff sich nicht selbst bewegen kann</w:t>
      </w:r>
      <w:r>
        <w:rPr>
          <w:rStyle w:val="FootnoteReference"/>
        </w:rPr>
        <w:footnoteReference w:id="13"/>
      </w:r>
      <w:r>
        <w:t>. Dies ist der wichtigste Leitsatz, der dahin führt, nach dem Dasein des ersten Bewegers zu forschen.“ (14-16)</w:t>
      </w:r>
    </w:p>
    <w:p w:rsidR="00A24CDC" w:rsidRDefault="00A24CDC" w:rsidP="00A24CDC"/>
    <w:p w:rsidR="00A24CDC" w:rsidRDefault="00A24CDC" w:rsidP="00A24CDC">
      <w:r>
        <w:lastRenderedPageBreak/>
        <w:t>1. Kapitel</w:t>
      </w:r>
    </w:p>
    <w:p w:rsidR="00A24CDC" w:rsidRDefault="00A24CDC" w:rsidP="00A24CDC">
      <w:r>
        <w:t>„Ist aber das, was die Sphäre bewegt, in ihr, so kann es nur entweder eine Kraft sein, die in dem ganzen Körper der Sphäre verbreitet ist, und die, wenn sich der Körper teilt, sich ebenfalls teilt, wie die Wärme des Feuers, oder es muß eine Kraft in ihm sein, die nicht teilbar ist, wie die Seele und die Vernunft, wie wir schon früher im elften Leitsatze erörtert haben.“ (23)</w:t>
      </w:r>
    </w:p>
    <w:p w:rsidR="00A24CDC" w:rsidRDefault="00A24CDC" w:rsidP="00A24CDC"/>
    <w:p w:rsidR="00A24CDC" w:rsidRDefault="00A24CDC" w:rsidP="00A24CDC">
      <w:r>
        <w:t>4. Kapitel</w:t>
      </w:r>
    </w:p>
    <w:p w:rsidR="00A24CDC" w:rsidRDefault="00A24CDC" w:rsidP="00A24CDC">
      <w:r>
        <w:t>„Daß die Sphäre tatsächlich beseelt ist, ist klar, wenn man darüber genau nachdenkt.“ (41)</w:t>
      </w:r>
    </w:p>
    <w:p w:rsidR="00A24CDC" w:rsidRDefault="00A24CDC" w:rsidP="00A24CDC">
      <w:r>
        <w:t>„und das zehnte Vernunftwesen, nämlich die aktive Vernunft, deren Dasein dadurch bewiesen wird, daß unser Denken aus dem Vermögen zur Wirklichkeit übergeht, sowie auch dadurch, daß die Formen der werdenden und vergehenden Dinge vorhanden sind, nachdem sie vorher in ihrem Stoffe nur dem Vermögen nach vorhanden waren.</w:t>
      </w:r>
      <w:r>
        <w:rPr>
          <w:rStyle w:val="FootnoteReference"/>
        </w:rPr>
        <w:footnoteReference w:id="14"/>
      </w:r>
      <w:r>
        <w:t xml:space="preserve"> Alles aber, was aus dem Ver-[47]mögen zur Wirklichkeit übergeht, muß notwendig außerhalb seiner etwas haben, das es zur Wirklichkeit bringt und dieses muß notwendig von derselben Art sein wie das zur Wirklichkeit Gebrachte. Denn der Schreiner verfertigt den Schrein nicht, insofern er ein Handwerker ist, sondern weil in seiner Vernunft die Form des Schreines vorhanden war. Diese in der Vernunft des Schreiners vorhanden gewesene Form des Schreiners war es also, welche die Form des Schreiners zur Wirklichkeit gebracht und in das Holz gelegt hat. Ebenso ist zweifellos dasjenige, welches die Form verleiht, eine absolute Form und der Hervorbringer der Vernunft ein Vernunftwesen, nämlich die aktive Vernunft, so daß das Verhältnis der aktiven Vernunft zu den Elementen und dem aus ihnen Zusammengesetzten das gleiche ist wie das Verhältnis jedes stofflosen Vernunftwesens zu seiner Sphäre und das Verhältnis der in uns vorhandenen wirklichen Vernunft, die von der Ausströmung der aktiven Vernunft herrührt, zu dieser das gleiche wie das Verhältnis der in jeder Sphäre vorhandenen Vernunft, die von dem Stofflosen ausgeströmt ist und vermöge welcher sie das Stofflose denkt, vorstellt, ihm ähnlich zu werden trachtet und sich bewegt, zu diesem.“ (46)</w:t>
      </w:r>
    </w:p>
    <w:p w:rsidR="00A24CDC" w:rsidRDefault="00A24CDC" w:rsidP="00A24CDC">
      <w:r>
        <w:t>„Das Endergebnis aller seiner [Aristoteles] Worte ist, daß alle Sphären lebende, mit Seele und Vernunft begabte Wesen sind, die ihre Ursachen vorstellen und denken und daß es im Sein stofflose Vernunftwesen gibt, welche, da sie von Gott emaniert sind, durchaus keinen Körper haben können.“ (49)</w:t>
      </w:r>
    </w:p>
    <w:p w:rsidR="00A24CDC" w:rsidRDefault="00A24CDC" w:rsidP="00A24CDC"/>
    <w:p w:rsidR="00A24CDC" w:rsidRDefault="00A24CDC" w:rsidP="00A24CDC">
      <w:r>
        <w:t>6. Kapitel</w:t>
      </w:r>
    </w:p>
    <w:p w:rsidR="00A24CDC" w:rsidRDefault="00A24CDC" w:rsidP="00A24CDC">
      <w:r>
        <w:t>„Alle Philosophen sind darin einig, daß die Regierung dieser unteren Welt vollständig durch Kräfte sich vollzieht, die ihr, wie wir sagten, von der Sphäre zuströmen und daß die Sphären das, was sie regieren, kennen und Kunde davon haben.“ (52)</w:t>
      </w:r>
    </w:p>
    <w:p w:rsidR="00A24CDC" w:rsidRDefault="00A24CDC" w:rsidP="00A24CDC">
      <w:r>
        <w:t>„Vielmehr bedeutet dies alles, daß selbst die Teile des Seienden bis zu den Organen der Lebewesen, wie sie an sich sind, alle durch die Vermittelung der Engel geschaffen sind, denn die Kräfte sind alle Engel. [...] Sagst du ihm [59] aber, daß Gott in den Samen eine gestaltende Kraft gelegt hat, welche die Fähigkeiten dieser Organe begründet und ihnen ihre Gestalt gibt, und daß diese Kraft der Engel ist</w:t>
      </w:r>
      <w:r>
        <w:rPr>
          <w:rStyle w:val="FootnoteReference"/>
        </w:rPr>
        <w:footnoteReference w:id="15"/>
      </w:r>
      <w:r>
        <w:t xml:space="preserve">, oder daß alle Formen von der Tätigkeit der wirkenden Vernunft </w:t>
      </w:r>
      <w:r>
        <w:lastRenderedPageBreak/>
        <w:t>herrühren</w:t>
      </w:r>
      <w:r>
        <w:rPr>
          <w:rStyle w:val="FootnoteReference"/>
        </w:rPr>
        <w:footnoteReference w:id="16"/>
      </w:r>
      <w:r>
        <w:t xml:space="preserve"> und diese der Engel und der Vorsteher der Welt ist, von dem unsere Weisen immer sprechen, so wird er davon nichts hören wollen, weil er die wahren Bedeutungen der Allmacht und des Allvermögens nicht versteht, diese aber in der Erzeugung der sinnlich nicht wahrnehmbaren, in einem Dinge wirksamen Kräfte sich äußert</w:t>
      </w:r>
      <w:r>
        <w:rPr>
          <w:rStyle w:val="FootnoteReference"/>
        </w:rPr>
        <w:footnoteReference w:id="17"/>
      </w:r>
      <w:r>
        <w:t xml:space="preserve">.“ (58) </w:t>
      </w:r>
    </w:p>
    <w:p w:rsidR="00A24CDC" w:rsidRDefault="00A24CDC" w:rsidP="00A24CDC"/>
    <w:p w:rsidR="00A24CDC" w:rsidRDefault="00A24CDC" w:rsidP="00A24CDC">
      <w:r>
        <w:t>10. Kapitel</w:t>
      </w:r>
    </w:p>
    <w:p w:rsidR="00A24CDC" w:rsidRDefault="00A24CDC" w:rsidP="00A24CDC">
      <w:r>
        <w:t xml:space="preserve">„Denn das ganze Seiende ist ja, wie wir erwähnten, nur </w:t>
      </w:r>
      <w:r>
        <w:rPr>
          <w:i/>
          <w:iCs/>
        </w:rPr>
        <w:t>ein</w:t>
      </w:r>
      <w:r>
        <w:t xml:space="preserve"> Individuum.“ (70)</w:t>
      </w:r>
    </w:p>
    <w:p w:rsidR="00A24CDC" w:rsidRDefault="00A24CDC" w:rsidP="00A24CDC">
      <w:r>
        <w:t>„Da sich aber nur das bewegt, was eine Seele hat, so ergibt sich hieraus notwendig das Dasein der Seele.“ (73)</w:t>
      </w:r>
    </w:p>
    <w:p w:rsidR="00A24CDC" w:rsidRDefault="00A24CDC" w:rsidP="00A24CDC">
      <w:r>
        <w:t>„Dies also sind die vier Ursachen der Sphärenbewegung. Die vier Arten allgemeiner Kräfte, die ursprünglich von ihnen zu uns gelangen, sind folgende Die Kraft des Werdens der Minerale, die vegetabilische, die animalische und, wie wir gesagt haben, die vernünftige Seelenkraft. Wenn du nun die Wirkungen dieser Kräfte betrachtest, wirst du finden, daß sie von zweierlei Art sind, entweder die des Werdens alles Werdenden oder die des Fortbestandes alles Gewordenen, nämlich die fortwährende Erhaltung seiner Art und die zeitweilige Erhaltung seiner Einzelwesen, und dies ist die Bedeutung des Wortes ‚Natur’, von der man sagt, sie ist weise, sie regiert, sie wacht über die Hervorbringung des Lebenden mittelst einer Arbeit, die der künstlerischen Arbeit gleichkommt, sie überwacht seine Erhaltung und seinen Fortbestand durch die Hervorbringung von Kräften, die ihm die Form verleihen, welche die Ursache seines Daseins sind und von Nährkräften, die die Ursache seines Fortbestandes und seiner Erhaltung für eine gewisse Zeit sind, und es ist möglich, daß das göttliche Ding, welches von Gott durch die Vermittelung der Sphäre zu uns gelangt, diese beiden Wirkungen bedeutet</w:t>
      </w:r>
      <w:r>
        <w:rPr>
          <w:rStyle w:val="FootnoteReference"/>
        </w:rPr>
        <w:footnoteReference w:id="18"/>
      </w:r>
      <w:r>
        <w:t>.“ (74)</w:t>
      </w:r>
    </w:p>
    <w:p w:rsidR="00A24CDC" w:rsidRDefault="00A24CDC" w:rsidP="00A24CDC"/>
    <w:p w:rsidR="00A24CDC" w:rsidRDefault="00A24CDC" w:rsidP="00A24CDC">
      <w:r>
        <w:t>11. Kapitel</w:t>
      </w:r>
    </w:p>
    <w:p w:rsidR="00A24CDC" w:rsidRDefault="00A24CDC" w:rsidP="00A24CDC">
      <w:r>
        <w:t>„Wir haben auch diesen Gegenstand betreffend bereits in unserem großen Werke über den Talmud dargelegt, daß alle erschaffenen Dinge in drei Teile zerfallen, in erstens die stofflosen Vernunftwesen, zweitens die Sphärenkörper und drittens die erste Materie, nämlich die sich stets verändernden Körper unterhalb der Sphäre.“ (76)</w:t>
      </w:r>
    </w:p>
    <w:p w:rsidR="00A24CDC" w:rsidRDefault="00A24CDC" w:rsidP="00A24CDC"/>
    <w:p w:rsidR="00A24CDC" w:rsidRDefault="00A24CDC" w:rsidP="00A24CDC">
      <w:r>
        <w:t>12. Kapitel</w:t>
      </w:r>
    </w:p>
    <w:p w:rsidR="00A24CDC" w:rsidRDefault="00A24CDC" w:rsidP="00A24CDC">
      <w:r>
        <w:t>„Denn der Urheber der Form ist eine Form ohne Materie,“ (84)</w:t>
      </w:r>
    </w:p>
    <w:p w:rsidR="00A24CDC" w:rsidRDefault="00A24CDC" w:rsidP="00A24CDC">
      <w:r>
        <w:t xml:space="preserve">„Ferner gehört zum Beweise dafür auch dies, daß jede Mischung Zunahme oder Abnahme erleiden kann und somit nach und nach entsteht. Dies ist [85] aber bei den Formen keineswegs der Fall, da sie nicht nach und nach entstehen. Somit ist ihnen keine Bewegung und, wenn sie entstehen oder vergehen, geschieht dies ohne Zeit. Sie kommen daher nicht von der Mischung her, vielmehr hat die Mischung nur die Materie zu bereiten, daß sie die Form annimmt. Der Urheber der Form ist aber ein Unteilbares, weil das von ihm Bewirkte von seiner Art sein muß. Und somit ist es bewiesen, daß der Urheber der Form, nämlich der sie verleiht, unbedingt eine </w:t>
      </w:r>
      <w:r>
        <w:lastRenderedPageBreak/>
        <w:t xml:space="preserve">Form, und zwar eine stofflose Form sein muß, und es ist undenkbar, daß das Werk dieses unkörperlichen Urhebers zu dem, der es macht, in einer Relation stehe, nachdem er ja kein Körper ist,“ (84) </w:t>
      </w:r>
    </w:p>
    <w:p w:rsidR="00A24CDC" w:rsidRDefault="00A24CDC" w:rsidP="00A24CDC">
      <w:r>
        <w:t xml:space="preserve">„Dieser wird daher immer der schlechterdings durch Emanation Wirkende in dem Sinne genannt, daß er mit einer Wasserquelle zu vergleichen ist, die nach allen Richtungen sich ergießt, die aber nicht eine bestimmte Stelle hat, wo [86] man selbst schöpfen oder andere schöpfen lassen kann, die vielmehr ganz und in ihrer ganzen Fülle ausfließt und nach allen Seiten erquickt, sowohl das, was ihr nahe ist, als auch das, was ihr immer fern bleiben muß.“ (85) </w:t>
      </w:r>
    </w:p>
    <w:p w:rsidR="00A24CDC" w:rsidRDefault="00A24CDC" w:rsidP="00A24CDC">
      <w:r>
        <w:t>„Alles dies ist die Folge davon, weil sie sich von der Phantasie leiten lassen, die in Wahrheit auch ‚der Trieb zum Bösen’ genannt werden darf, weil jede Mangelhaftigkeit an einem Dinge oder im Charakter eine Wirkung der Phantasie ist oder aus ihrem Wirken folgt.“ (87)</w:t>
      </w:r>
    </w:p>
    <w:p w:rsidR="00A24CDC" w:rsidRDefault="00A24CDC" w:rsidP="00A24CDC"/>
    <w:p w:rsidR="00A24CDC" w:rsidRDefault="00A24CDC" w:rsidP="00A24CDC">
      <w:r>
        <w:t>14. Kapitel</w:t>
      </w:r>
    </w:p>
    <w:p w:rsidR="00A24CDC" w:rsidRDefault="00A24CDC" w:rsidP="00A24CDC">
      <w:r>
        <w:t>„Die erste Materie, die den vier Elementen gemeinsam ist, entsteht und vergeht nicht. Denn wenn die erste Materie entstünde, so müßte sie eine Materie haben, aus der sie entstünde. Diese werdende Materie müßte aber notwendig eine Form haben, welche die Realität des Werdens ist. Wir aber haben angenommen, daß sie eine Materie ist, die keine Form besitzt. Somit kann sie unbedingt nicht aus einem Dinge werden, sie muß [99] somit ewig sein und kann nicht untergehen.“ (98)</w:t>
      </w:r>
    </w:p>
    <w:p w:rsidR="00A24CDC" w:rsidRDefault="00A24CDC" w:rsidP="00A24CDC"/>
    <w:p w:rsidR="00A24CDC" w:rsidRDefault="00A24CDC" w:rsidP="00A24CDC">
      <w:r>
        <w:t>18. Kapitel</w:t>
      </w:r>
    </w:p>
    <w:p w:rsidR="00A24CDC" w:rsidRDefault="00A24CDC" w:rsidP="00A24CDC">
      <w:r>
        <w:t>„Dies beweist nach Ansicht Aristoteles’ und seiner Anhänger die aktive Vernunft, die stofflos ist und dennoch, wie Abunazar in seinem Werke über die Vernunft gezeigt hat, zu einer gewissen Zeit tätig ist und zu einer andern Zeit nicht. Er sagt dort [119] ausdrücklich und wörtlich: ‚Es ist wahr und offenkundig, daß die aktive Vernunft nicht immer tätig ist, sondern zu einer Zeit tätig, zu einer anderen Zeit nichttätig.’“ (118)</w:t>
      </w:r>
    </w:p>
    <w:p w:rsidR="00A24CDC" w:rsidRDefault="00A24CDC" w:rsidP="00A24CDC">
      <w:r>
        <w:t xml:space="preserve">„daß von der aktiven Vernunft, welche kein Körper und keine in einem Körper befindliche Kraft ist, obgleich sie aus welchem Grunde immer eine gewisse Tätigkeit zu einer bestimmten Zeit ausübt und zu einer anderen Zeit nicht, dennoch nicht gesagt werden kann, sie sei aus der Möglichkeit zur Wirklichkeit übergegangen oder in ihrem Wesen sei eine Möglichkeit vorhanden oder sie habe jemandes bedurft, der sie aus der Möglichkeit zur Wirklichkeit gebracht habe.“ (120) </w:t>
      </w:r>
    </w:p>
    <w:p w:rsidR="00A24CDC" w:rsidRDefault="00A24CDC" w:rsidP="00A24CDC"/>
    <w:p w:rsidR="00A24CDC" w:rsidRDefault="00A24CDC" w:rsidP="00A24CDC">
      <w:r>
        <w:t>19. Kapitel</w:t>
      </w:r>
    </w:p>
    <w:p w:rsidR="00A24CDC" w:rsidRDefault="00A24CDC" w:rsidP="00A24CDC">
      <w:r>
        <w:t>„Die Materie ist allen Dingen gemeinsam, die in jeder Art verschieden sind. Dies ist aber undenkbar ohne eine andere Ursache, die außerhalb dieser gemeinsamen Materie liegt und die es bedingt hat, daß ein Teil dieser Dinge so, ein anderer Teil anders beschaffen ist, oder es muß so viele Ursachen geben als es Dinge gibt.“ (127)</w:t>
      </w:r>
    </w:p>
    <w:p w:rsidR="00A24CDC" w:rsidRDefault="00A24CDC" w:rsidP="00A24CDC">
      <w:r>
        <w:t>„daß die Materie sich in verschiedenen Formen spezifiziert, d.h. die Anlage hat, verschiedene Formen anzunehmen.“ (130)</w:t>
      </w:r>
    </w:p>
    <w:p w:rsidR="00A24CDC" w:rsidRDefault="00A24CDC" w:rsidP="00A24CDC"/>
    <w:p w:rsidR="00A24CDC" w:rsidRDefault="00A24CDC" w:rsidP="00A24CDC">
      <w:r>
        <w:t>30. Kapitel</w:t>
      </w:r>
    </w:p>
    <w:p w:rsidR="00A24CDC" w:rsidRDefault="00A24CDC" w:rsidP="00A24CDC">
      <w:r>
        <w:t>„Es ist dir also klar, daß Sammael Satan ist und daß auch dieser Name eine Bedeutung hat so wie der Name der Schlange</w:t>
      </w:r>
      <w:r>
        <w:rPr>
          <w:rStyle w:val="FootnoteReference"/>
        </w:rPr>
        <w:footnoteReference w:id="19"/>
      </w:r>
      <w:r>
        <w:t xml:space="preserve">, und so sagen sie: ‚Als die Schlange kam, Chawwa zu verführen, ritt </w:t>
      </w:r>
      <w:r>
        <w:lastRenderedPageBreak/>
        <w:t>Sammale auf ihr. Gott aber lachte über das Kamel und seinen Reiter’</w:t>
      </w:r>
      <w:r>
        <w:rPr>
          <w:rStyle w:val="FootnoteReference"/>
        </w:rPr>
        <w:footnoteReference w:id="20"/>
      </w:r>
      <w:r>
        <w:t>. [...] Ferner mußt du wissen und darauf aufmerksam gemacht werden, daß die Schlange sich Adam nicht genähert und nicht mit ihm gesprochen hat</w:t>
      </w:r>
      <w:r>
        <w:rPr>
          <w:rStyle w:val="FootnoteReference"/>
        </w:rPr>
        <w:footnoteReference w:id="21"/>
      </w:r>
      <w:r>
        <w:t>, daß aber in Wahrheit ihre [214] Beflissenheit und Annäherung nur Chawwa galt, daß durch ihr Dazwischentreten das Unglück über Adam kam und die Schlange sein Verderben herbeiführte und daß der unversöhnliche Haß zwischen der Schlange und Chawwa und zwischen deren beiderseitigen Nachkommen noch besteht, obgleich doch ohne Zweifel ihre Nachkommen auch die Adams sind. Noch auffallender aber als dieses ist es, daß das Schicksal der Schlange mit dem Schicksal Chawwas, nämlich das Schicksal ihrer beiderseitigen Nachkommen verknüpft wird im Bilde von Kopf und Ferse, und daß die Schlange den Menschen mit dem Kopfe besiegt, während er sie mit der Ferse überwindet</w:t>
      </w:r>
      <w:r>
        <w:rPr>
          <w:rStyle w:val="FootnoteReference"/>
        </w:rPr>
        <w:footnoteReference w:id="22"/>
      </w:r>
      <w:r>
        <w:t>.“ (213)</w:t>
      </w:r>
    </w:p>
    <w:p w:rsidR="00A24CDC" w:rsidRDefault="00A24CDC" w:rsidP="00A24CDC"/>
    <w:p w:rsidR="00A24CDC" w:rsidRDefault="00A24CDC" w:rsidP="00A24CDC">
      <w:r>
        <w:t>36. Kapitel</w:t>
      </w:r>
    </w:p>
    <w:p w:rsidR="00A24CDC" w:rsidRDefault="00A24CDC" w:rsidP="00A24CDC">
      <w:r>
        <w:t xml:space="preserve">„Das Wesen der Prophetie und ihr wahrer Begriff ist die Emanation, welche von Gott durch die Vermittelung der aktiven Vernunft sich zuerst auf das Denkvermögen und dann auf die Einbildungskraft ergießt und dies ist die höchste Stufe des Menschen und die äußerste Vollkommenheit, die bei seiner Art vorhanden sein kann, und dieser Zustand ist die äußerste Vollkommenheit der Einbildungskraft. Dies ist ein Ding, das durchaus nicht bei allen Menschen vorkommen kann und zu dem sie auch nicht durch die Vollkommenheit in den spekulativen Wissenschaften und durch die Ver-[239]vollkommnung des Charakters gelangen können, wenn sie selbst alle die äußerst mögliche Tüchtigkeit und Vorzüglichkeit besäßen, außer wenn noch die äußerst mögliche Vollkommenheit der Einbildungskraft im Beginne ihrer Erschaffung hinzutritt. Du weißt ja, daß die Vollkommenheit dieser Körperkräfte, zu denen auch die Einbildungskraft gehört, in Wahrheit davon abhängt, daß das Organ, welches der Träger dieser Kraft ist, die denkbar beste Mischung habe, und zwar im denkbar besten Ausmaße, und mit den denkbar besten Säften.“ (238) </w:t>
      </w:r>
    </w:p>
    <w:p w:rsidR="00A24CDC" w:rsidRDefault="00A24CDC" w:rsidP="00A24CDC">
      <w:r>
        <w:t>„Die Einbildungskraft aber ist ohne Zweifel eine körperliche Kraft.“ (245)</w:t>
      </w:r>
    </w:p>
    <w:p w:rsidR="00A24CDC" w:rsidRDefault="00A24CDC" w:rsidP="00A24CDC"/>
    <w:p w:rsidR="00A24CDC" w:rsidRDefault="00A24CDC" w:rsidP="00A24CDC">
      <w:r>
        <w:t>73. Kapitel</w:t>
      </w:r>
    </w:p>
    <w:p w:rsidR="00A24CDC" w:rsidRDefault="00A24CDC" w:rsidP="00A24CDC">
      <w:r>
        <w:t>„</w:t>
      </w:r>
      <w:r>
        <w:rPr>
          <w:i/>
          <w:iCs/>
        </w:rPr>
        <w:t>Anmerkung</w:t>
      </w:r>
      <w:r>
        <w:t xml:space="preserve">: Wenn du, Leser dieses Buches, die Seele und ihre Kräfte kennst und das wahre Wesen von allem begriffen [347]hast, was sie betrifft, wirst du wissen, daß die meisten Tiere die Einbildungskraft besitzen. Allerdings ist bei allen vollkommenen Tieren, nämlich bei denen, die ein Herz haben, das Vorhandensein der Einbildungskraft offenbar einleuchtend. Ebenso ist klar, daß der Mensch sich nicht durch die Einbildungskraft von den übrigen Lebewesen unterscheidet, </w:t>
      </w:r>
      <w:r>
        <w:lastRenderedPageBreak/>
        <w:t xml:space="preserve">und daß die Tätigkeit der Einbildungskraft nicht die gleiche, sondern das Gegenteil der des Denkens ist. Das Denken löst nämlich das Zusammengesetzte auf, sondert seine Teile, befreit sie von den Einzelheiten, stellt sie ihrer wahren Beschaffenheit und ihren Ursachen gemäß vor und erkennt von dem einen Dinge überaus zahlreiche Umstände, die dem Denken zufolge sich so unterscheiden, wie der Einbildungskraft zufolge zwei menschliche Einzelpersonen sich in der Wirklichkeit unterscheiden. Durch das Denken wird ferner das Allgemeine von dem Besonderen unterschieden und keinerlei [349] Beweis anerkannt, der nicht vom Allgemeinen ausgeht, und endlich auch die wesentliche Aussage von der unwesentlichen unterschieden. Der Einbildungskraft hingegen kommt keine dieser Tätigkeiten zu. Sie begreift nichts als das Besondere, das zusammengesetzte Ganze, so wie es die Sinne wahrnehmen, oder setzt die Dinge, die in der Wirklichkeit geschieden sind, miteinander zusammen und kombiniert sie miteinander, jedoch immer nur einen Körper oder eine von den körperlichen Kräften, wie sich z.B. der von der Einbildungskraft Beherrschte ein menschliches Einzelwesen mit einem Pferdekopf und Flügeln und dergleichen vorstellt, und dies nennt man Erdichtungen und Lüge, weil schlechterdings nichts dem Ähnliches vorhanden ist. Die Einbildungskraft kann aber auf keinerlei Weise bei dem, was sie erkennt, dem Stofflichen entgehen, selbst wenn sie eine Form noch so vollständig abgelöst hätte, und deshalb kann man mit der Einbildungskraft nichts betrachten. Vernimm also, welchen Nutzen die mathematischen Wissenschaften uns bringen und welchen großen Vorteil uns die Lehrsätze bieten, die wir aus ihr gewonnen haben!“ (347-349) </w:t>
      </w:r>
    </w:p>
    <w:p w:rsidR="00A24CDC" w:rsidRDefault="00A24CDC" w:rsidP="00A24CDC"/>
    <w:p w:rsidR="00A24CDC" w:rsidRDefault="00A24CDC" w:rsidP="00A24CDC">
      <w:pPr>
        <w:pStyle w:val="Heading1"/>
      </w:pPr>
      <w:r>
        <w:t>Drittes Buch</w:t>
      </w:r>
    </w:p>
    <w:p w:rsidR="00A24CDC" w:rsidRDefault="00A24CDC" w:rsidP="00A24CDC">
      <w:r>
        <w:t>8. Kapitel</w:t>
      </w:r>
    </w:p>
    <w:p w:rsidR="00A24CDC" w:rsidRDefault="00A24CDC" w:rsidP="00A24CDC">
      <w:r>
        <w:t>„Alle werdenden und vergehenden Körper werden vom Vergehen nur von Seiten ihrer Materie, nicht aber durch irgend etwas anderes betroffen. Hingegen seitens der Form und hinsichtlich der Form an und für sich betrifft sie kein Vergehen, sondern sie sind bleibend. Du siehst ja, daß die Artformen alle fortdauernd bestehen bleiben. In der Tat trifft das Vergehen die Form nur zufällig, nämlich infolge ihrer Verbindung mit der Materie. Aber die Natur und das wahre Wesen der Materie besteht eben darin, daß sie niemals der Verbindung mit dem Nichtsein (der Privation) entgehen [34] kann und deshalb bleibt keine Form dauernd in ihr, sondern sie legt eine Form ab und nimmt eine andere Form an.“ (33)</w:t>
      </w:r>
    </w:p>
    <w:p w:rsidR="00A24CDC" w:rsidRDefault="00A24CDC" w:rsidP="00A24CDC"/>
    <w:p w:rsidR="00A24CDC" w:rsidRDefault="00A24CDC" w:rsidP="00A24CDC">
      <w:r>
        <w:t>54. Kapitel</w:t>
      </w:r>
    </w:p>
    <w:p w:rsidR="006A41F3" w:rsidRDefault="00A24CDC" w:rsidP="00A24CDC">
      <w:r>
        <w:t>„Die vierte Art aber ist die wahre menschliche Vollkommenheit, nämlich wenn der Mensch die geistigen Vorzüge erlangt, d.h. die Vorstellung der abstrakten Dinge, um daraus inbetreff der wirklichen Dinge wahre Glaubensmeinungen abzuleiten. Diese aber ist allein der Endzweck, und sie macht den Menschen wahrhaft vollkommen. Diese Vollkommenheit ist auch ihm ausschließlich eigen und um ihretwillen ist er eines ewigen Fortbestandes würdig. Sie ist es auch, durch die der Mensch Mensch ist.“ (365)</w:t>
      </w:r>
      <w:bookmarkStart w:id="0" w:name="_GoBack"/>
      <w:bookmarkEnd w:id="0"/>
    </w:p>
    <w:sectPr w:rsidR="006A41F3" w:rsidSect="00395CDE">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474AD" w:rsidRDefault="006474AD" w:rsidP="00A24CDC">
      <w:r>
        <w:separator/>
      </w:r>
    </w:p>
  </w:endnote>
  <w:endnote w:type="continuationSeparator" w:id="0">
    <w:p w:rsidR="006474AD" w:rsidRDefault="006474AD" w:rsidP="00A24C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474AD" w:rsidRDefault="006474AD" w:rsidP="00A24CDC">
      <w:r>
        <w:separator/>
      </w:r>
    </w:p>
  </w:footnote>
  <w:footnote w:type="continuationSeparator" w:id="0">
    <w:p w:rsidR="006474AD" w:rsidRDefault="006474AD" w:rsidP="00A24CDC">
      <w:r>
        <w:continuationSeparator/>
      </w:r>
    </w:p>
  </w:footnote>
  <w:footnote w:id="1">
    <w:p w:rsidR="00A24CDC" w:rsidRDefault="00A24CDC" w:rsidP="00A24CDC">
      <w:pPr>
        <w:pStyle w:val="FootnoteText"/>
      </w:pPr>
      <w:r>
        <w:rPr>
          <w:rStyle w:val="FootnoteReference"/>
        </w:rPr>
        <w:footnoteRef/>
      </w:r>
      <w:r>
        <w:t xml:space="preserve"> „Die Fähigkeit, das Geistige zu erkennen, die jedoch nach der Meinung des Verf. eine körperliche Potenz ist, die, wenn sie nicht der Mensch zur Aktualität gebracht hat, mit dem Körper vergeht, die aber, wenn sie durch die aktive Intelligenz aktuell geworden ist, unvergänglich wird ([...]).“ </w:t>
      </w:r>
    </w:p>
  </w:footnote>
  <w:footnote w:id="2">
    <w:p w:rsidR="00A24CDC" w:rsidRDefault="00A24CDC" w:rsidP="00A24CDC">
      <w:pPr>
        <w:pStyle w:val="FootnoteText"/>
      </w:pPr>
      <w:r>
        <w:rPr>
          <w:rStyle w:val="FootnoteReference"/>
        </w:rPr>
        <w:footnoteRef/>
      </w:r>
      <w:r>
        <w:t xml:space="preserve"> „Die hylische Vernunft, bedarf wie alles, was nur dem Vermögen nach vorhanden ist, um etwas Wirkliches zu werden und dadurch zur Vollendung zu gelangen, eines Wesens außer ihr, das sie zur Verwirklichung bringt. Dieses ist nach dem Verf. die aktive Vernunft, der [...] (sekhel happoël), das unterste der Vernunftwesen der Sphären, durch dessen Einfluß die hylische Vernunft, die als dessen Emanation betrachtet wird, sich zu einer positiven entwickelt, um sich dann mit der aktiven Vernunft dauernd zu vereinigen. Der [261] [...] Maimonides’ ist von dem [nous poeitikos] Aristoteles’ gänzlich verschieden. Aristoteles hat unter dem [nous poeitikos] de anima III, 15 offenbar nur eine Funktion der menschlichen Seele gemeint. Seine Ausleger aber mißverstanden ihn, und Alexander aus Aphrodisias spricht dem Menschen den [nous poeitikos] völlig ab und identifiziert ihn mit Gott. Unser Verf. setzt ihn wohl außerhalb des Denkens, weicht aber nach dem Vorbilde anderer arabischer Aristoteliker, insbesondere Ibn Sinas, von Alexander insofern ab, daß er ihn nicht als mit Gott identisch, sondern als eines der von Gott geschaffenen stofflosen Vernunftwesen auffaßt.“ </w:t>
      </w:r>
    </w:p>
  </w:footnote>
  <w:footnote w:id="3">
    <w:p w:rsidR="00A24CDC" w:rsidRDefault="00A24CDC" w:rsidP="00A24CDC">
      <w:pPr>
        <w:pStyle w:val="FootnoteText"/>
      </w:pPr>
      <w:r>
        <w:rPr>
          <w:rStyle w:val="FootnoteReference"/>
        </w:rPr>
        <w:footnoteRef/>
      </w:r>
      <w:r>
        <w:t xml:space="preserve"> „Der Verf. meint damit die hylische Vernunft nach der Auffassung Alexanders v. Aphrodisias.“ </w:t>
      </w:r>
    </w:p>
  </w:footnote>
  <w:footnote w:id="4">
    <w:p w:rsidR="00A24CDC" w:rsidRDefault="00A24CDC" w:rsidP="00A24CDC">
      <w:pPr>
        <w:pStyle w:val="FootnoteText"/>
      </w:pPr>
      <w:r>
        <w:rPr>
          <w:rStyle w:val="FootnoteReference"/>
        </w:rPr>
        <w:footnoteRef/>
      </w:r>
      <w:r>
        <w:t xml:space="preserve"> „Die durch die aktive Vernunft zu einer positiven und wirklichen gewordene erworbene Vernunft.“ </w:t>
      </w:r>
    </w:p>
  </w:footnote>
  <w:footnote w:id="5">
    <w:p w:rsidR="00A24CDC" w:rsidRDefault="00A24CDC" w:rsidP="00A24CDC">
      <w:pPr>
        <w:pStyle w:val="FootnoteText"/>
      </w:pPr>
      <w:r>
        <w:rPr>
          <w:rStyle w:val="FootnoteReference"/>
        </w:rPr>
        <w:footnoteRef/>
      </w:r>
      <w:r>
        <w:t xml:space="preserve"> „Ähnlich wie unser Verf. bezeichnet auch Galenus, definitiones med. 183 das Denkvermögen mit den Ausdrücken [...].“</w:t>
      </w:r>
    </w:p>
  </w:footnote>
  <w:footnote w:id="6">
    <w:p w:rsidR="00A24CDC" w:rsidRDefault="00A24CDC" w:rsidP="00A24CDC">
      <w:pPr>
        <w:pStyle w:val="FootnoteText"/>
      </w:pPr>
      <w:r>
        <w:rPr>
          <w:rStyle w:val="FootnoteReference"/>
        </w:rPr>
        <w:footnoteRef/>
      </w:r>
      <w:r>
        <w:t xml:space="preserve"> „Ebendaselbst 37: [...].“</w:t>
      </w:r>
    </w:p>
  </w:footnote>
  <w:footnote w:id="7">
    <w:p w:rsidR="00A24CDC" w:rsidRDefault="00A24CDC" w:rsidP="00A24CDC">
      <w:pPr>
        <w:pStyle w:val="FootnoteText"/>
      </w:pPr>
      <w:r>
        <w:rPr>
          <w:rStyle w:val="FootnoteReference"/>
        </w:rPr>
        <w:footnoteRef/>
      </w:r>
      <w:r>
        <w:t xml:space="preserve"> „Da die hylische Vernunft nichts als eine bloße Anlage und eine Potenz im Körper ist, die erst durch das Denken zu etwas Aktuellem und Bleibendem wird.“ </w:t>
      </w:r>
    </w:p>
  </w:footnote>
  <w:footnote w:id="8">
    <w:p w:rsidR="00A24CDC" w:rsidRDefault="00A24CDC" w:rsidP="00A24CDC">
      <w:pPr>
        <w:pStyle w:val="FootnoteText"/>
      </w:pPr>
      <w:r>
        <w:rPr>
          <w:rStyle w:val="FootnoteReference"/>
        </w:rPr>
        <w:footnoteRef/>
      </w:r>
      <w:r>
        <w:t xml:space="preserve"> „Denn als solche müßten sie ja mit dem Körper vergehen. Das Gesagte gilt nicht bloß von den Vernunftwesen der Sphären, sondern auch von der erworbenen Vernunft, die das einzige Ding ist, das nach dem Tode des Körpers übrig bleibt.“ </w:t>
      </w:r>
    </w:p>
  </w:footnote>
  <w:footnote w:id="9">
    <w:p w:rsidR="00A24CDC" w:rsidRDefault="00A24CDC" w:rsidP="00A24CDC">
      <w:pPr>
        <w:pStyle w:val="FootnoteText"/>
      </w:pPr>
      <w:r>
        <w:rPr>
          <w:rStyle w:val="FootnoteReference"/>
        </w:rPr>
        <w:footnoteRef/>
      </w:r>
      <w:r>
        <w:t xml:space="preserve"> „Die Gesamtheit aller Seelen bildet nur eine Einheit, da sie sich in keiner Beziehung voneinander unterscheiden.“ </w:t>
      </w:r>
    </w:p>
  </w:footnote>
  <w:footnote w:id="10">
    <w:p w:rsidR="00A24CDC" w:rsidRDefault="00A24CDC" w:rsidP="00A24CDC">
      <w:pPr>
        <w:pStyle w:val="FootnoteText"/>
      </w:pPr>
      <w:r>
        <w:rPr>
          <w:rStyle w:val="FootnoteReference"/>
        </w:rPr>
        <w:footnoteRef/>
      </w:r>
      <w:r>
        <w:t xml:space="preserve"> „Die über den Tod des Körpers fortdauernden Seelen sind absolut einfache Substanzen, die durch die Vereinigung mit der aktiven Vernunft zur Stufe der erworbenen Vernunft gelangt sind. Somit kann ihr Denken, das nur die lautere Wahrheit umfassen kann, nicht verschieden sein. Es gibt also nichts, wodurch sie sich unterscheiden, ausgenommen, wenn eine von ihnen Ursache, die andere Verursachtes ist.“ </w:t>
      </w:r>
    </w:p>
  </w:footnote>
  <w:footnote w:id="11">
    <w:p w:rsidR="00A24CDC" w:rsidRDefault="00A24CDC" w:rsidP="00A24CDC">
      <w:pPr>
        <w:pStyle w:val="FootnoteText"/>
      </w:pPr>
      <w:r>
        <w:rPr>
          <w:rStyle w:val="FootnoteReference"/>
        </w:rPr>
        <w:footnoteRef/>
      </w:r>
      <w:r>
        <w:t xml:space="preserve"> „Diese These läßt sich aus der fünften und siebzehnten These ohne weiteres folgern. Die Bewegung ist ein Übergehen aus der Potenzialität zur Aktualität. Jede Bewegung aber wird durch etwas bewirkt, was nicht mit dem Bewegten identisch ist, sondern außer ihm. (Vgl. Arist. Phys. VIII, 4, 5.) Somit kann das Potenzielle zum Aktuellen nur dadurch werden, daß eine äußere Einwirkung diesen Übergang bewerkstelligt, wie auch Aristoteles (Metaph. IX, 1) bemerkt. Dabei ist es kein Unterschied, ob die Potenzialität in dem Beweger oder in dem Bewegten liegt, denn der Baumeister wird ebenso durch eine äußere Einwirkung dahin gebracht zu bauen, wenn er bisher nicht gebaut hat, wie das vorhandene Baumaterial erst durch äußere Einwirkung zum Gebäude wird.“ </w:t>
      </w:r>
    </w:p>
  </w:footnote>
  <w:footnote w:id="12">
    <w:p w:rsidR="00A24CDC" w:rsidRDefault="00A24CDC" w:rsidP="00A24CDC">
      <w:pPr>
        <w:pStyle w:val="FootnoteText"/>
      </w:pPr>
      <w:r>
        <w:rPr>
          <w:rStyle w:val="FootnoteReference"/>
        </w:rPr>
        <w:footnoteRef/>
      </w:r>
      <w:r>
        <w:t xml:space="preserve"> „Da die Materie befähigt und bereit ist, alle Formen anzunehmen, so muß, damit sie diese bestimmte Form annehme oder dieses Bestimmte werden, eine Einwirkung auf die Materie von außen stattfinden.“ </w:t>
      </w:r>
    </w:p>
  </w:footnote>
  <w:footnote w:id="13">
    <w:p w:rsidR="00A24CDC" w:rsidRDefault="00A24CDC" w:rsidP="00A24CDC">
      <w:pPr>
        <w:pStyle w:val="FootnoteText"/>
      </w:pPr>
      <w:r>
        <w:rPr>
          <w:rStyle w:val="FootnoteReference"/>
        </w:rPr>
        <w:footnoteRef/>
      </w:r>
      <w:r>
        <w:t xml:space="preserve"> „Aristoteles (Metaph. I, 3): ‚Das Substrat ist nicht selbst an seiner Veränderung schuld, nicht das Holz und das Erz bewirkt eine Veränderung am Holz oder am Erz, sondern die Ursache der Veränderung ist in irgend etwas anderem zu suchen.’ Metaph. XII, 6: ‚Die Materie kann sich nicht selbst bewegen.’“</w:t>
      </w:r>
    </w:p>
  </w:footnote>
  <w:footnote w:id="14">
    <w:p w:rsidR="00A24CDC" w:rsidRDefault="00A24CDC" w:rsidP="00A24CDC">
      <w:pPr>
        <w:pStyle w:val="FootnoteText"/>
      </w:pPr>
      <w:r>
        <w:rPr>
          <w:rStyle w:val="FootnoteReference"/>
        </w:rPr>
        <w:footnoteRef/>
      </w:r>
      <w:r>
        <w:t xml:space="preserve"> „Nämlich die Tatsache, daß unser Denken aus dem Vermögen zur Wirklichkeit übergeht, und daß die Formen, die in den Materien bloß dem Vermögen nach vorhanden sind, wirklich entstehen können, beweist die Existenz der aktiven Vernunft.“ </w:t>
      </w:r>
    </w:p>
  </w:footnote>
  <w:footnote w:id="15">
    <w:p w:rsidR="00A24CDC" w:rsidRDefault="00A24CDC" w:rsidP="00A24CDC">
      <w:pPr>
        <w:pStyle w:val="FootnoteText"/>
      </w:pPr>
      <w:r>
        <w:rPr>
          <w:rStyle w:val="FootnoteReference"/>
        </w:rPr>
        <w:footnoteRef/>
      </w:r>
      <w:r>
        <w:t xml:space="preserve"> „D.h. er wird daran Anstoß nehmen, daß die gestaltende Kraft, die in dem Samen liegt, der Engel sei, weil diese etwas Natürliches ist.“ </w:t>
      </w:r>
    </w:p>
  </w:footnote>
  <w:footnote w:id="16">
    <w:p w:rsidR="00A24CDC" w:rsidRDefault="00A24CDC" w:rsidP="00A24CDC">
      <w:pPr>
        <w:pStyle w:val="FootnoteText"/>
      </w:pPr>
      <w:r>
        <w:rPr>
          <w:rStyle w:val="FootnoteReference"/>
        </w:rPr>
        <w:footnoteRef/>
      </w:r>
      <w:r>
        <w:t xml:space="preserve"> „D.h. er wird nicht zugeben wollen, daß die Formen erzeugende wirkende Vernunft ein Engel sei.“ </w:t>
      </w:r>
    </w:p>
  </w:footnote>
  <w:footnote w:id="17">
    <w:p w:rsidR="00A24CDC" w:rsidRDefault="00A24CDC" w:rsidP="00A24CDC">
      <w:pPr>
        <w:pStyle w:val="FootnoteText"/>
      </w:pPr>
      <w:r>
        <w:rPr>
          <w:rStyle w:val="FootnoteReference"/>
        </w:rPr>
        <w:footnoteRef/>
      </w:r>
      <w:r>
        <w:t xml:space="preserve"> „D.h. mit anderen Worten, er ist unfähig, sich eine übersinnliche Kraft vorzustellen. Der Verf. hat in dem Vorstehenden die beiden Ansichten, die über das Werden des Keimes bestehen, nämlich die Ansicht Aristoteles’, daß das Zeugende eine im Samen oder im Menstruationsblute vorhandene seelische Kraft, und die Ansicht Ibn Sinas, daß dies die aktive Vernunft sei, zusammengefaßt. Er scheint also, wie Schemtob (Komm. z. St.) bemerkt, beide Ansichten zu akzeptieren und der erstgenannten Kraft die Entstehung der Organe und alles dessen, was sie zu ihrer Funktion bedürfen, der aktiven Vernunft hingegen die ihnen verliehene zweckmäßige Form zuzuschreiben.“ </w:t>
      </w:r>
    </w:p>
  </w:footnote>
  <w:footnote w:id="18">
    <w:p w:rsidR="00A24CDC" w:rsidRDefault="00A24CDC" w:rsidP="00A24CDC">
      <w:pPr>
        <w:pStyle w:val="FootnoteText"/>
      </w:pPr>
      <w:r>
        <w:rPr>
          <w:rStyle w:val="FootnoteReference"/>
        </w:rPr>
        <w:footnoteRef/>
      </w:r>
      <w:r>
        <w:t xml:space="preserve"> „Der Verf. will damit sagen, daß die Emanation in nichts anderem als in der Verleihung der zeugenden und erhaltenden Kräfte bestehe.“ </w:t>
      </w:r>
    </w:p>
  </w:footnote>
  <w:footnote w:id="19">
    <w:p w:rsidR="00A24CDC" w:rsidRDefault="00A24CDC" w:rsidP="00A24CDC">
      <w:pPr>
        <w:pStyle w:val="FootnoteText"/>
      </w:pPr>
      <w:r>
        <w:rPr>
          <w:rStyle w:val="FootnoteReference"/>
        </w:rPr>
        <w:footnoteRef/>
      </w:r>
      <w:r>
        <w:t xml:space="preserve"> „Die Kommentatoren stimmen darin überein, daß der Verf. mit der Schlange die Einbildungskraft meint, welche, weil sie die wahrgenommenen Dinge übertreibt und Vorstellungen erzeugt, denen nichts Wirkliches entspricht, figürlich so dargestellt wird, daß sie die Größe eines Kamels erreicht. Diese Einbildungskraft wird aber, wenn nicht die Vernunft dazwischen tritt, zumeist von dem Begehrungsvermögen (Sammael) beherrscht (figürlich: Sammael reitet auf der Schlange) und dieses Begehrungsvermögen, welches sich die körperlichen Organe leicht dienstbar macht, verführt den Menschen zum Bösen und zu seinem Verderben. Daher wird dieses Vermögen mit dem Satan und dem Todesengel identifiziert.“ (213 Anm.)</w:t>
      </w:r>
    </w:p>
  </w:footnote>
  <w:footnote w:id="20">
    <w:p w:rsidR="00A24CDC" w:rsidRDefault="00A24CDC" w:rsidP="00A24CDC">
      <w:pPr>
        <w:pStyle w:val="FootnoteText"/>
      </w:pPr>
      <w:r>
        <w:rPr>
          <w:rStyle w:val="FootnoteReference"/>
        </w:rPr>
        <w:footnoteRef/>
      </w:r>
      <w:r>
        <w:t xml:space="preserve"> „D.h. die wahre erworbene Vernunft lacht darüber, weil sie als ewige der Einwirkung der Phantasie und der Begierde entrückt ist.“ (213 Anm.)</w:t>
      </w:r>
    </w:p>
  </w:footnote>
  <w:footnote w:id="21">
    <w:p w:rsidR="00A24CDC" w:rsidRDefault="00A24CDC" w:rsidP="00A24CDC">
      <w:pPr>
        <w:pStyle w:val="FootnoteText"/>
      </w:pPr>
      <w:r>
        <w:rPr>
          <w:rStyle w:val="FootnoteReference"/>
        </w:rPr>
        <w:footnoteRef/>
      </w:r>
      <w:r>
        <w:t xml:space="preserve"> „D.h. solange die menschliche Vernunft (Adam) dauernd wirksam ist, kann die Einbildungskraft, die ja ihr Gegenteil ist, auf sie nicht einwirken, daher richtet diese ihre Anstrengung darauf, auf die Materie (Chawwa), von [214] welcher alles Üble und alles Vergehen kommt, zu wirken, durch deren Vermittelung die Vernunft zu ihrem Verderben von den intellektuellen Dingen hinweg zu den Wertdingen gelenkt werden soll.“ (213 Anm.)</w:t>
      </w:r>
    </w:p>
  </w:footnote>
  <w:footnote w:id="22">
    <w:p w:rsidR="00A24CDC" w:rsidRDefault="00A24CDC" w:rsidP="00A24CDC">
      <w:pPr>
        <w:pStyle w:val="FootnoteText"/>
      </w:pPr>
      <w:r>
        <w:rPr>
          <w:rStyle w:val="FootnoteReference"/>
        </w:rPr>
        <w:footnoteRef/>
      </w:r>
      <w:r>
        <w:t xml:space="preserve"> „Gen. 3, 15. Der Verf. will sagen, daß zwischen der Vernunft und der Phantasie ein immerwährender Kampf besteht. Der Mensch, dessen wahres Wesen die Vernunft bildet, vermag sich vermöge dieser über die Wirkung der Phantasie zu erheben und ihre Phantome zu zerstören. Dennoch aber erlangt manchmal infolge der körperlichen Neigungen die Phantasie unversehens (von der Ferse aus) Gewalt über den Menschen.“ (214 Anm.)</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4CDC"/>
    <w:rsid w:val="001231ED"/>
    <w:rsid w:val="00395CDE"/>
    <w:rsid w:val="0055526E"/>
    <w:rsid w:val="00635244"/>
    <w:rsid w:val="006474AD"/>
    <w:rsid w:val="006E0AF6"/>
    <w:rsid w:val="00A24C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B27B2E0"/>
  <w14:defaultImageDpi w14:val="32767"/>
  <w15:chartTrackingRefBased/>
  <w15:docId w15:val="{E8FF94CD-F654-9242-A439-1E722A486A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A24CDC"/>
    <w:rPr>
      <w:rFonts w:ascii="Times New Roman" w:eastAsia="Times New Roman" w:hAnsi="Times New Roman" w:cs="Times New Roman"/>
      <w:lang w:val="de-DE" w:eastAsia="de-DE"/>
    </w:rPr>
  </w:style>
  <w:style w:type="paragraph" w:styleId="Heading1">
    <w:name w:val="heading 1"/>
    <w:basedOn w:val="Normal"/>
    <w:next w:val="Normal"/>
    <w:link w:val="Heading1Char"/>
    <w:qFormat/>
    <w:rsid w:val="00A24CDC"/>
    <w:pPr>
      <w:keepNext/>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24CDC"/>
    <w:rPr>
      <w:rFonts w:ascii="Times New Roman" w:eastAsia="Times New Roman" w:hAnsi="Times New Roman" w:cs="Times New Roman"/>
      <w:b/>
      <w:bCs/>
      <w:lang w:val="de-DE" w:eastAsia="de-DE"/>
    </w:rPr>
  </w:style>
  <w:style w:type="paragraph" w:styleId="BodyText">
    <w:name w:val="Body Text"/>
    <w:basedOn w:val="Normal"/>
    <w:link w:val="BodyTextChar"/>
    <w:semiHidden/>
    <w:rsid w:val="00A24CDC"/>
    <w:rPr>
      <w:b/>
      <w:bCs/>
    </w:rPr>
  </w:style>
  <w:style w:type="character" w:customStyle="1" w:styleId="BodyTextChar">
    <w:name w:val="Body Text Char"/>
    <w:basedOn w:val="DefaultParagraphFont"/>
    <w:link w:val="BodyText"/>
    <w:semiHidden/>
    <w:rsid w:val="00A24CDC"/>
    <w:rPr>
      <w:rFonts w:ascii="Times New Roman" w:eastAsia="Times New Roman" w:hAnsi="Times New Roman" w:cs="Times New Roman"/>
      <w:b/>
      <w:bCs/>
      <w:lang w:val="de-DE" w:eastAsia="de-DE"/>
    </w:rPr>
  </w:style>
  <w:style w:type="character" w:styleId="FootnoteReference">
    <w:name w:val="footnote reference"/>
    <w:basedOn w:val="DefaultParagraphFont"/>
    <w:semiHidden/>
    <w:rsid w:val="00A24CDC"/>
    <w:rPr>
      <w:vertAlign w:val="superscript"/>
    </w:rPr>
  </w:style>
  <w:style w:type="paragraph" w:styleId="FootnoteText">
    <w:name w:val="footnote text"/>
    <w:basedOn w:val="Normal"/>
    <w:link w:val="FootnoteTextChar"/>
    <w:semiHidden/>
    <w:rsid w:val="00A24CDC"/>
    <w:rPr>
      <w:sz w:val="20"/>
      <w:szCs w:val="20"/>
    </w:rPr>
  </w:style>
  <w:style w:type="character" w:customStyle="1" w:styleId="FootnoteTextChar">
    <w:name w:val="Footnote Text Char"/>
    <w:basedOn w:val="DefaultParagraphFont"/>
    <w:link w:val="FootnoteText"/>
    <w:semiHidden/>
    <w:rsid w:val="00A24CDC"/>
    <w:rPr>
      <w:rFonts w:ascii="Times New Roman" w:eastAsia="Times New Roman" w:hAnsi="Times New Roman" w:cs="Times New Roman"/>
      <w:sz w:val="20"/>
      <w:szCs w:val="20"/>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3710</Words>
  <Characters>21153</Characters>
  <Application>Microsoft Office Word</Application>
  <DocSecurity>0</DocSecurity>
  <Lines>176</Lines>
  <Paragraphs>49</Paragraphs>
  <ScaleCrop>false</ScaleCrop>
  <Company/>
  <LinksUpToDate>false</LinksUpToDate>
  <CharactersWithSpaces>24814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Florian Ehrensperger</dc:creator>
  <cp:keywords/>
  <dc:description/>
  <cp:lastModifiedBy>Florian Ehrensperger</cp:lastModifiedBy>
  <cp:revision>1</cp:revision>
  <dcterms:created xsi:type="dcterms:W3CDTF">2019-11-05T01:49:00Z</dcterms:created>
  <dcterms:modified xsi:type="dcterms:W3CDTF">2019-11-05T01:49:00Z</dcterms:modified>
</cp:coreProperties>
</file>