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E93848" w:rsidRDefault="00170D84">
      <w:pPr>
        <w:rPr>
          <w:b/>
          <w:lang w:val="de-DE"/>
        </w:rPr>
      </w:pPr>
      <w:bookmarkStart w:id="0" w:name="_GoBack"/>
      <w:r w:rsidRPr="00E93848">
        <w:rPr>
          <w:b/>
          <w:lang w:val="de-DE"/>
        </w:rPr>
        <w:t>Karl Löwith: Weltgeschichte und Heilsgeschehen. Die theologischen Voraussetzungen der Geschichtsphilosophie. Siebte Auflage. Stuttgart: Kohlhammer, 1979.</w:t>
      </w:r>
    </w:p>
    <w:bookmarkEnd w:id="0"/>
    <w:p w:rsidR="00170D84" w:rsidRDefault="00170D84">
      <w:pPr>
        <w:rPr>
          <w:lang w:val="de-DE"/>
        </w:rPr>
      </w:pPr>
    </w:p>
    <w:p w:rsidR="00170D84" w:rsidRDefault="00170D84">
      <w:pPr>
        <w:rPr>
          <w:lang w:val="de-DE"/>
        </w:rPr>
      </w:pPr>
      <w:r>
        <w:rPr>
          <w:lang w:val="de-DE"/>
        </w:rPr>
        <w:t xml:space="preserve">„Aber auch die Kirche glaubte an Prädestination, während der moderne Mensch, wenn er nicht </w:t>
      </w:r>
      <w:proofErr w:type="spellStart"/>
      <w:r>
        <w:rPr>
          <w:lang w:val="de-DE"/>
        </w:rPr>
        <w:t>abergläubig</w:t>
      </w:r>
      <w:proofErr w:type="spellEnd"/>
      <w:r>
        <w:rPr>
          <w:lang w:val="de-DE"/>
        </w:rPr>
        <w:t xml:space="preserve"> ist, an keinerlei Führung glaubt – weder an die durch das Schicksal, noch durch die Vorsehung. Er bildet sich ein, die Zukunft könne durch ihn selbst geschaffen werden. Er hält sie für </w:t>
      </w:r>
      <w:proofErr w:type="spellStart"/>
      <w:r>
        <w:rPr>
          <w:lang w:val="de-DE"/>
        </w:rPr>
        <w:t>unerkundbar</w:t>
      </w:r>
      <w:proofErr w:type="spellEnd"/>
      <w:r>
        <w:rPr>
          <w:lang w:val="de-DE"/>
        </w:rPr>
        <w:t>, weil er sie selbst herbeiführen will.“ (19)</w:t>
      </w:r>
    </w:p>
    <w:p w:rsidR="00170D84" w:rsidRDefault="00170D84">
      <w:pPr>
        <w:rPr>
          <w:lang w:val="de-DE"/>
        </w:rPr>
      </w:pPr>
    </w:p>
    <w:p w:rsidR="00170D84" w:rsidRDefault="00170D84">
      <w:pPr>
        <w:rPr>
          <w:lang w:val="de-DE"/>
        </w:rPr>
      </w:pPr>
      <w:r>
        <w:rPr>
          <w:lang w:val="de-DE"/>
        </w:rPr>
        <w:t>Burckhardt</w:t>
      </w:r>
    </w:p>
    <w:p w:rsidR="00170D84" w:rsidRDefault="00170D84">
      <w:pPr>
        <w:rPr>
          <w:lang w:val="de-DE"/>
        </w:rPr>
      </w:pPr>
      <w:r>
        <w:rPr>
          <w:lang w:val="de-DE"/>
        </w:rPr>
        <w:t>„Und so richtete sich seine Hoffnung für die Zukunft Europas einzig auf ‚asketische Menschen‘, auf strenge Charaktere, die, anstatt voran- und weiterkommen zu wollen, den Mut zur Entsagung und zum Verzicht haben.“ (33)</w:t>
      </w:r>
    </w:p>
    <w:p w:rsidR="00170D84" w:rsidRDefault="00170D84">
      <w:pPr>
        <w:rPr>
          <w:lang w:val="de-DE"/>
        </w:rPr>
      </w:pPr>
      <w:r>
        <w:rPr>
          <w:lang w:val="de-DE"/>
        </w:rPr>
        <w:t>„Letzten Endes, glaubte er, werde keine liberale Bildung, sondern nur die Religion imstande sein, uns vor der im Gange befindlichen Schändung der menschlichen Seele zu retten, ‚denn ohne einen transzendenten Drang, der all das Geschrei nach Macht und Geld überflügelt, wird nichts von Nutzen sein.‘“ (34)</w:t>
      </w:r>
    </w:p>
    <w:p w:rsidR="00170D84" w:rsidRDefault="00170D84">
      <w:pPr>
        <w:rPr>
          <w:lang w:val="de-DE"/>
        </w:rPr>
      </w:pPr>
    </w:p>
    <w:p w:rsidR="00170D84" w:rsidRDefault="00170D84">
      <w:pPr>
        <w:rPr>
          <w:lang w:val="de-DE"/>
        </w:rPr>
      </w:pPr>
      <w:r>
        <w:rPr>
          <w:lang w:val="de-DE"/>
        </w:rPr>
        <w:t>Marx</w:t>
      </w:r>
    </w:p>
    <w:p w:rsidR="00170D84" w:rsidRDefault="007848D9">
      <w:pPr>
        <w:rPr>
          <w:lang w:val="de-DE"/>
        </w:rPr>
      </w:pPr>
      <w:r>
        <w:rPr>
          <w:lang w:val="de-DE"/>
        </w:rPr>
        <w:t>„Mag Marx auch die Tatsache der Ausbeutung durch seine Mehrwert-Theorie ‚wissenschaftlich‘ erklären, so bleibt ‚Ausbeutung‘ nichtsdestoweniger ein moralisches Urteil; sie ist, wenn an einer bestimmten Idee von Gerechtigkeit bemessen, ein absolutes Unrecht. In Marx‘ Darstellung der Weltgeschichte ist sie nichts Geringeres als das radikale Böse der ‚Vorgeschichte‘ oder biblisch gesprochen, die Erbsünde dieses Äon.“ (47)</w:t>
      </w:r>
    </w:p>
    <w:p w:rsidR="007848D9" w:rsidRDefault="007848D9">
      <w:pPr>
        <w:rPr>
          <w:lang w:val="de-DE"/>
        </w:rPr>
      </w:pPr>
      <w:r>
        <w:rPr>
          <w:lang w:val="de-DE"/>
        </w:rPr>
        <w:t xml:space="preserve">„Die grundlegende Voraussetzung des </w:t>
      </w:r>
      <w:r w:rsidRPr="007848D9">
        <w:rPr>
          <w:i/>
          <w:lang w:val="de-DE"/>
        </w:rPr>
        <w:t>Kommunistischen Manifests</w:t>
      </w:r>
      <w:r>
        <w:rPr>
          <w:lang w:val="de-DE"/>
        </w:rPr>
        <w:t xml:space="preserve"> ist nicht der Antagonismus von Bourgeoisie und Proletariat als zweier einander gegenüberstehenden Klassen, der Antagonismus liegt vielmehr darin, </w:t>
      </w:r>
      <w:proofErr w:type="spellStart"/>
      <w:r>
        <w:rPr>
          <w:lang w:val="de-DE"/>
        </w:rPr>
        <w:t>daß</w:t>
      </w:r>
      <w:proofErr w:type="spellEnd"/>
      <w:r>
        <w:rPr>
          <w:lang w:val="de-DE"/>
        </w:rPr>
        <w:t xml:space="preserve"> die eine Klasse Kinder der Finsternis und die anderen Kinder des Lichts sind.“ (47) </w:t>
      </w:r>
    </w:p>
    <w:p w:rsidR="00201FB9" w:rsidRDefault="00201FB9">
      <w:pPr>
        <w:rPr>
          <w:lang w:val="de-DE"/>
        </w:rPr>
      </w:pPr>
      <w:r>
        <w:rPr>
          <w:lang w:val="de-DE"/>
        </w:rPr>
        <w:t xml:space="preserve">„Die wirklich treibende Kraft hinter dieser Konzeption ist ein offenkundiger Messianismus, der </w:t>
      </w:r>
      <w:proofErr w:type="spellStart"/>
      <w:r>
        <w:rPr>
          <w:lang w:val="de-DE"/>
        </w:rPr>
        <w:t>unbewußt</w:t>
      </w:r>
      <w:proofErr w:type="spellEnd"/>
      <w:r>
        <w:rPr>
          <w:lang w:val="de-DE"/>
        </w:rPr>
        <w:t xml:space="preserve"> in Marx‘ eigenem Sein, in seiner Rasse wurzelt. […] Der historische Materialismus ist Heilsgeschichte in der Sprache der Nationalökonomie.“ (48) </w:t>
      </w:r>
    </w:p>
    <w:p w:rsidR="00201FB9" w:rsidRDefault="00201FB9">
      <w:pPr>
        <w:rPr>
          <w:lang w:val="de-DE"/>
        </w:rPr>
      </w:pPr>
      <w:r>
        <w:rPr>
          <w:lang w:val="de-DE"/>
        </w:rPr>
        <w:t xml:space="preserve">„Nach Feuerbachs ‚Entdeckung‘, </w:t>
      </w:r>
      <w:proofErr w:type="spellStart"/>
      <w:r>
        <w:rPr>
          <w:lang w:val="de-DE"/>
        </w:rPr>
        <w:t>daß</w:t>
      </w:r>
      <w:proofErr w:type="spellEnd"/>
      <w:r>
        <w:rPr>
          <w:lang w:val="de-DE"/>
        </w:rPr>
        <w:t xml:space="preserve"> Gott nur eine Projektion des</w:t>
      </w:r>
      <w:r w:rsidR="00C430A4">
        <w:rPr>
          <w:lang w:val="de-DE"/>
        </w:rPr>
        <w:t xml:space="preserve"> endlichen Menschen ins </w:t>
      </w:r>
      <w:proofErr w:type="spellStart"/>
      <w:r w:rsidR="00C430A4">
        <w:rPr>
          <w:lang w:val="de-DE"/>
        </w:rPr>
        <w:t>Un</w:t>
      </w:r>
      <w:proofErr w:type="spellEnd"/>
      <w:r w:rsidR="00C430A4">
        <w:rPr>
          <w:lang w:val="de-DE"/>
        </w:rPr>
        <w:t xml:space="preserve">-endliche und </w:t>
      </w:r>
      <w:proofErr w:type="spellStart"/>
      <w:r w:rsidR="00C430A4">
        <w:rPr>
          <w:lang w:val="de-DE"/>
        </w:rPr>
        <w:t>daß</w:t>
      </w:r>
      <w:proofErr w:type="spellEnd"/>
      <w:r w:rsidR="00C430A4">
        <w:rPr>
          <w:lang w:val="de-DE"/>
        </w:rPr>
        <w:t xml:space="preserve"> das Wesen der Theologie Anthropologie sei, besteht die Aufgabe jetzt darin, die ‚Wahrheit des Diesseits‘ zu etablieren.“ (51)</w:t>
      </w:r>
    </w:p>
    <w:p w:rsidR="00C430A4" w:rsidRDefault="00C430A4">
      <w:pPr>
        <w:rPr>
          <w:lang w:val="de-DE"/>
        </w:rPr>
      </w:pPr>
    </w:p>
    <w:p w:rsidR="00C430A4" w:rsidRDefault="00C430A4">
      <w:pPr>
        <w:rPr>
          <w:lang w:val="de-DE"/>
        </w:rPr>
      </w:pPr>
      <w:r>
        <w:rPr>
          <w:lang w:val="de-DE"/>
        </w:rPr>
        <w:t xml:space="preserve">„Infolge dieser ursprünglichen Abhängigkeit der Fortschrittsidee vom Christentum ist der moderne Fortschrittsgedanke zweideutig: er ist seinem Ursprung nach christlich, und seiner Tendenz nach antichristlich. Während der Ausgangspunkt der modernen Fortschrittsreligion die eschatologische Erwartung einer künftigen Erfüllung ist, in deren Licht gesehen die bisherige Menschheit im Zustand der Verderbtheit lebt, findet sich bei den klassischen Schriftstellern, wenn sie den Verfall von Athen oder Rom beschreiben, keine ähnliche Verzweiflung und Zuversicht. Die fortschrittlichen und verfallsgeschichtlichen Konstruktionen der Geschichte von Voltaire und Rousseau bis zu Marx und Sorel sind das späte, aber immer noch machtvolle Ergebnis der biblischen Heils- und Verfallslehre. Dem klassischen Denken über Geschichte kam </w:t>
      </w:r>
      <w:r>
        <w:rPr>
          <w:lang w:val="de-DE"/>
        </w:rPr>
        <w:lastRenderedPageBreak/>
        <w:t xml:space="preserve">eine solche eschatologische Auslegung des Geschehens auf ein letztes Gericht und Erlösung hin nicht in den Sinn.“ (63) </w:t>
      </w:r>
    </w:p>
    <w:p w:rsidR="00C430A4" w:rsidRDefault="00C430A4">
      <w:pPr>
        <w:rPr>
          <w:lang w:val="de-DE"/>
        </w:rPr>
      </w:pPr>
    </w:p>
    <w:p w:rsidR="00C430A4" w:rsidRDefault="00C430A4">
      <w:pPr>
        <w:rPr>
          <w:lang w:val="de-DE"/>
        </w:rPr>
      </w:pPr>
      <w:r>
        <w:rPr>
          <w:lang w:val="de-DE"/>
        </w:rPr>
        <w:t>Proudhon</w:t>
      </w:r>
    </w:p>
    <w:p w:rsidR="00C430A4" w:rsidRDefault="00C430A4">
      <w:pPr>
        <w:rPr>
          <w:lang w:val="de-DE"/>
        </w:rPr>
      </w:pPr>
      <w:r>
        <w:rPr>
          <w:lang w:val="de-DE"/>
        </w:rPr>
        <w:t>„Die göttliche Vorsehung sei nichts anderes als der ‚Kollektiv-Instinkt‘ oder die ‚universale Vernunft‘ des Menschen als eines sozialen Wesens. Der Gott der Geschichte ist des Menschen eigene Schöpfung und der Atheismus, d.h. der Humanismus, die bislang verborgene Grundlage jeder Theodizee.“ (64)</w:t>
      </w:r>
    </w:p>
    <w:p w:rsidR="00C430A4" w:rsidRDefault="00C430A4">
      <w:pPr>
        <w:rPr>
          <w:lang w:val="de-DE"/>
        </w:rPr>
      </w:pPr>
      <w:r>
        <w:rPr>
          <w:lang w:val="de-DE"/>
        </w:rPr>
        <w:t>„</w:t>
      </w:r>
      <w:r w:rsidR="00A444E7">
        <w:rPr>
          <w:lang w:val="de-DE"/>
        </w:rPr>
        <w:t>‘</w:t>
      </w:r>
      <w:r>
        <w:rPr>
          <w:lang w:val="de-DE"/>
        </w:rPr>
        <w:t>Die wahre Tugend</w:t>
      </w:r>
      <w:r w:rsidR="00A444E7">
        <w:rPr>
          <w:lang w:val="de-DE"/>
        </w:rPr>
        <w:t xml:space="preserve">, durch die uns das ewige Leben zuteil wird, besteht in dem Kampf gegen die Religion und gegen Gott selbst‘, denn ‚Gott ist </w:t>
      </w:r>
      <w:r w:rsidR="00A444E7" w:rsidRPr="00A444E7">
        <w:rPr>
          <w:i/>
          <w:lang w:val="de-DE"/>
        </w:rPr>
        <w:t>das</w:t>
      </w:r>
      <w:r w:rsidR="00A444E7">
        <w:rPr>
          <w:lang w:val="de-DE"/>
        </w:rPr>
        <w:t xml:space="preserve"> Böse‘. Als </w:t>
      </w:r>
      <w:proofErr w:type="spellStart"/>
      <w:r w:rsidR="00A444E7">
        <w:rPr>
          <w:lang w:val="de-DE"/>
        </w:rPr>
        <w:t>providentieller</w:t>
      </w:r>
      <w:proofErr w:type="spellEnd"/>
      <w:r w:rsidR="00A444E7">
        <w:rPr>
          <w:lang w:val="de-DE"/>
        </w:rPr>
        <w:t xml:space="preserve"> Schöpfergott beraubt der christliche Gott den Menschen der eigenen Schöpferkraft und Voraussicht.“ (65) </w:t>
      </w:r>
    </w:p>
    <w:p w:rsidR="00A444E7" w:rsidRDefault="00A444E7">
      <w:pPr>
        <w:rPr>
          <w:lang w:val="de-DE"/>
        </w:rPr>
      </w:pPr>
    </w:p>
    <w:p w:rsidR="00A444E7" w:rsidRDefault="00A444E7">
      <w:pPr>
        <w:rPr>
          <w:lang w:val="de-DE"/>
        </w:rPr>
      </w:pPr>
      <w:r>
        <w:rPr>
          <w:lang w:val="de-DE"/>
        </w:rPr>
        <w:t>Comte</w:t>
      </w:r>
    </w:p>
    <w:p w:rsidR="00A444E7" w:rsidRDefault="00A444E7">
      <w:pPr>
        <w:rPr>
          <w:lang w:val="de-DE"/>
        </w:rPr>
      </w:pPr>
      <w:r>
        <w:rPr>
          <w:lang w:val="de-DE"/>
        </w:rPr>
        <w:t>„Comtes neue Philosophie ist Relativismus im radikalen und buchstäblichen Sinne, weil sie ausschließlich in Beziehungen denkt.“ (71)</w:t>
      </w:r>
    </w:p>
    <w:p w:rsidR="00A444E7" w:rsidRDefault="00A444E7">
      <w:pPr>
        <w:rPr>
          <w:lang w:val="de-DE"/>
        </w:rPr>
      </w:pPr>
      <w:r>
        <w:rPr>
          <w:lang w:val="de-DE"/>
        </w:rPr>
        <w:t xml:space="preserve">„Das ganze moderne Mühen um immer neue Verbesserungen und Fortschritte wurzelt in dem </w:t>
      </w:r>
      <w:r w:rsidRPr="00A444E7">
        <w:rPr>
          <w:i/>
          <w:lang w:val="de-DE"/>
        </w:rPr>
        <w:t>einen</w:t>
      </w:r>
      <w:r>
        <w:rPr>
          <w:lang w:val="de-DE"/>
        </w:rPr>
        <w:t xml:space="preserve"> christlichen Fortschritt zum Reiche Gottes, von dem das moderne </w:t>
      </w:r>
      <w:proofErr w:type="spellStart"/>
      <w:r>
        <w:rPr>
          <w:lang w:val="de-DE"/>
        </w:rPr>
        <w:t>Bewußtsein</w:t>
      </w:r>
      <w:proofErr w:type="spellEnd"/>
      <w:r>
        <w:rPr>
          <w:lang w:val="de-DE"/>
        </w:rPr>
        <w:t xml:space="preserve"> sich emanzipiert hat und von dem es abhängig blieb, wie ein entlaufener Sklave von seinem entfernten Herrn.“ (83)</w:t>
      </w:r>
    </w:p>
    <w:p w:rsidR="00A444E7" w:rsidRDefault="00A444E7">
      <w:pPr>
        <w:rPr>
          <w:lang w:val="de-DE"/>
        </w:rPr>
      </w:pPr>
      <w:r>
        <w:rPr>
          <w:lang w:val="de-DE"/>
        </w:rPr>
        <w:t>„Wäre er andererseits bis zum Kern des theologischen ‚Systems‘ vorgedrungen, das ursprünglich kein System, sondern ein Aufruf zur Buße und eine frohe Botschaft war, so hätte er nicht bei der positiv-wissenschaftlichen Methode als der endgültigen Lösung und Erlösung haltmachen können.“ (87)</w:t>
      </w:r>
    </w:p>
    <w:p w:rsidR="00D44E3D" w:rsidRDefault="00D44E3D">
      <w:pPr>
        <w:rPr>
          <w:lang w:val="de-DE"/>
        </w:rPr>
      </w:pPr>
    </w:p>
    <w:p w:rsidR="00D44E3D" w:rsidRDefault="00D44E3D">
      <w:pPr>
        <w:rPr>
          <w:lang w:val="de-DE"/>
        </w:rPr>
      </w:pPr>
      <w:r>
        <w:rPr>
          <w:lang w:val="de-DE"/>
        </w:rPr>
        <w:t>Condorcet</w:t>
      </w:r>
    </w:p>
    <w:p w:rsidR="00D44E3D" w:rsidRDefault="00D44E3D">
      <w:pPr>
        <w:rPr>
          <w:lang w:val="de-DE"/>
        </w:rPr>
      </w:pPr>
      <w:r>
        <w:rPr>
          <w:lang w:val="de-DE"/>
        </w:rPr>
        <w:t xml:space="preserve">„Condorcets Prognose einer künftigen Vervollkommnung der Menschen ist nicht das Ergebnis wissenschaftlicher Schlussfolgerungen und Beweise, sondern ein Wunschtraum des Glaubens und der Hoffnung.“ (91) </w:t>
      </w:r>
    </w:p>
    <w:p w:rsidR="00D44E3D" w:rsidRDefault="00D44E3D">
      <w:pPr>
        <w:rPr>
          <w:lang w:val="de-DE"/>
        </w:rPr>
      </w:pPr>
    </w:p>
    <w:p w:rsidR="00D44E3D" w:rsidRDefault="00D44E3D">
      <w:pPr>
        <w:rPr>
          <w:lang w:val="de-DE"/>
        </w:rPr>
      </w:pPr>
      <w:r>
        <w:rPr>
          <w:lang w:val="de-DE"/>
        </w:rPr>
        <w:t>Tolstoi</w:t>
      </w:r>
    </w:p>
    <w:p w:rsidR="00D44E3D" w:rsidRDefault="00D44E3D">
      <w:pPr>
        <w:rPr>
          <w:lang w:val="de-DE"/>
        </w:rPr>
      </w:pPr>
      <w:r>
        <w:rPr>
          <w:lang w:val="de-DE"/>
        </w:rPr>
        <w:t>„‘Die mittelalterliche Theologie oder die römische Sittenverderbtheit vergifteten nur ihre eigenen Leute, also einen kleinen Teil der Menschheit; heute verderben Elektrizität, Eisenbahnen und Telegraphen die ganze Welt.“ (94)</w:t>
      </w:r>
    </w:p>
    <w:p w:rsidR="00D44E3D" w:rsidRDefault="00D44E3D">
      <w:pPr>
        <w:rPr>
          <w:lang w:val="de-DE"/>
        </w:rPr>
      </w:pPr>
    </w:p>
    <w:p w:rsidR="00D44E3D" w:rsidRDefault="00D44E3D">
      <w:pPr>
        <w:rPr>
          <w:lang w:val="de-DE"/>
        </w:rPr>
      </w:pPr>
      <w:r>
        <w:rPr>
          <w:lang w:val="de-DE"/>
        </w:rPr>
        <w:t xml:space="preserve">„Die Erlösung </w:t>
      </w:r>
      <w:proofErr w:type="spellStart"/>
      <w:r>
        <w:rPr>
          <w:lang w:val="de-DE"/>
        </w:rPr>
        <w:t>läßt</w:t>
      </w:r>
      <w:proofErr w:type="spellEnd"/>
      <w:r>
        <w:rPr>
          <w:lang w:val="de-DE"/>
        </w:rPr>
        <w:t xml:space="preserve"> sich nicht durch eine allmähliche Entwicklung unserer natürlichen Anlagen erreichen, sondern nur vorbereiten durch eine entschiedene Bekehrung. Und [107] so hat die Mahnung des Paulus, nicht zurück zu sehen, sondern ‚voran zu drängen‘, nichts mit modernem Aktivismus und Futurismus zu tun; ihm geht es um eine Verwandlung und Vollendung, die sich in einer noch fernen, aber bevorstehenden Zukunft ereignen wird.“ (106-107) </w:t>
      </w:r>
    </w:p>
    <w:p w:rsidR="00D44E3D" w:rsidRDefault="00D44E3D">
      <w:pPr>
        <w:rPr>
          <w:lang w:val="de-DE"/>
        </w:rPr>
      </w:pPr>
    </w:p>
    <w:p w:rsidR="00D44E3D" w:rsidRDefault="00D44E3D">
      <w:pPr>
        <w:rPr>
          <w:lang w:val="de-DE"/>
        </w:rPr>
      </w:pPr>
      <w:r>
        <w:rPr>
          <w:lang w:val="de-DE"/>
        </w:rPr>
        <w:t>Joachim</w:t>
      </w:r>
    </w:p>
    <w:p w:rsidR="00D44E3D" w:rsidRDefault="00D44E3D">
      <w:pPr>
        <w:rPr>
          <w:lang w:val="de-DE"/>
        </w:rPr>
      </w:pPr>
      <w:r>
        <w:rPr>
          <w:lang w:val="de-DE"/>
        </w:rPr>
        <w:t>„Dieser letzte Übergang bringt auch die Abschaffung der Predigt und der Sakramente mit sich, deren vermittelnde Kraft überflüssig wird, wenn die geistige Ordnung verwirklicht sein wird, die durch unmittelbare Kontemplation Kenntnis von Gott besitzt.“ (141)</w:t>
      </w:r>
    </w:p>
    <w:p w:rsidR="00D44E3D" w:rsidRDefault="00D44E3D">
      <w:pPr>
        <w:rPr>
          <w:lang w:val="de-DE"/>
        </w:rPr>
      </w:pPr>
      <w:r>
        <w:rPr>
          <w:lang w:val="de-DE"/>
        </w:rPr>
        <w:lastRenderedPageBreak/>
        <w:t xml:space="preserve">„Die Quelle dieser Versuche, die Geschichte durch Geschichte zu vollenden, ist die Erwartung der Franziskanischen Spiritualen, </w:t>
      </w:r>
      <w:proofErr w:type="spellStart"/>
      <w:r>
        <w:rPr>
          <w:lang w:val="de-DE"/>
        </w:rPr>
        <w:t>daß</w:t>
      </w:r>
      <w:proofErr w:type="spellEnd"/>
      <w:r>
        <w:rPr>
          <w:lang w:val="de-DE"/>
        </w:rPr>
        <w:t xml:space="preserve"> ein letzter Kampf das Heilsgeschehen zu seiner weltgeschichtlichen Erfüllung und Vollendung führen wird.“ (147)</w:t>
      </w:r>
    </w:p>
    <w:p w:rsidR="00D44E3D" w:rsidRDefault="00D44E3D">
      <w:pPr>
        <w:rPr>
          <w:lang w:val="de-DE"/>
        </w:rPr>
      </w:pPr>
    </w:p>
    <w:p w:rsidR="00D44E3D" w:rsidRDefault="00D44E3D">
      <w:pPr>
        <w:rPr>
          <w:lang w:val="de-DE"/>
        </w:rPr>
      </w:pPr>
      <w:r>
        <w:rPr>
          <w:lang w:val="de-DE"/>
        </w:rPr>
        <w:t>„Insbesondere war es der Bruch mit der Tradition am Ende des 18. Jahrhunderts, der der modernen Geschichte und unserem modernen historischen Denken das revolutionäre Gepräge gab.</w:t>
      </w:r>
      <w:r w:rsidR="005D75B7">
        <w:rPr>
          <w:lang w:val="de-DE"/>
        </w:rPr>
        <w:t xml:space="preserve"> Die politische Revolution in Frankreich und die industrielle Revolution in England und ihre universale Auswirkung auf die ganze zivilisierte Welt steigerten das moderne </w:t>
      </w:r>
      <w:proofErr w:type="spellStart"/>
      <w:r w:rsidR="005D75B7">
        <w:rPr>
          <w:lang w:val="de-DE"/>
        </w:rPr>
        <w:t>Bewußtsein</w:t>
      </w:r>
      <w:proofErr w:type="spellEnd"/>
      <w:r w:rsidR="005D75B7">
        <w:rPr>
          <w:lang w:val="de-DE"/>
        </w:rPr>
        <w:t xml:space="preserve">, in einer Epoche zu leben, in der geschichtliche Veränderungen eins und alles sind.“ (177) </w:t>
      </w:r>
    </w:p>
    <w:p w:rsidR="005D75B7" w:rsidRDefault="005D75B7">
      <w:pPr>
        <w:rPr>
          <w:lang w:val="de-DE"/>
        </w:rPr>
      </w:pPr>
      <w:r>
        <w:rPr>
          <w:lang w:val="de-DE"/>
        </w:rPr>
        <w:t xml:space="preserve">„In ähnlicher Weise ist die Botschaft des Neuen Testaments keine Aufforderung zu geschichtlicher Tat, sondern zur Reue. Nichts im Neuen Testament spricht für die Annahme, </w:t>
      </w:r>
      <w:proofErr w:type="spellStart"/>
      <w:r>
        <w:rPr>
          <w:lang w:val="de-DE"/>
        </w:rPr>
        <w:t>daß</w:t>
      </w:r>
      <w:proofErr w:type="spellEnd"/>
      <w:r>
        <w:rPr>
          <w:lang w:val="de-DE"/>
        </w:rPr>
        <w:t xml:space="preserve"> die Ereignisse, die das Urchristentum ins Leben riefen, der Beginn einer neuen Epoche säkularer Entwicklungen innerhalb eines fortschreitenden Prozesses sind.“ (180)</w:t>
      </w:r>
    </w:p>
    <w:p w:rsidR="005D75B7" w:rsidRDefault="005D75B7">
      <w:pPr>
        <w:rPr>
          <w:lang w:val="de-DE"/>
        </w:rPr>
      </w:pPr>
      <w:r>
        <w:rPr>
          <w:lang w:val="de-DE"/>
        </w:rPr>
        <w:t xml:space="preserve">„Keine dieser beiden Auslegungen erklärt jedoch den merkwürdigen Zwiespalt unserer ‚christlichen Welt‘, die ihre Hoffnung auf eine ‚bessere Welt‘ auf materielles Schaffen und Wohlergehen setzt.“ (184) </w:t>
      </w:r>
    </w:p>
    <w:p w:rsidR="005D75B7" w:rsidRDefault="005D75B7">
      <w:pPr>
        <w:rPr>
          <w:lang w:val="de-DE"/>
        </w:rPr>
      </w:pPr>
      <w:r>
        <w:rPr>
          <w:lang w:val="de-DE"/>
        </w:rPr>
        <w:t xml:space="preserve">„Das Ideal der modernen Wissenschaft, die Natur zu beherrschen, und die Fortschrittsidee tauchten weder in der klassischen Welt noch im Osten auf, sondern im Westen.“ (185) </w:t>
      </w:r>
    </w:p>
    <w:p w:rsidR="005D75B7" w:rsidRPr="00170D84" w:rsidRDefault="005D75B7">
      <w:pPr>
        <w:rPr>
          <w:lang w:val="de-DE"/>
        </w:rPr>
      </w:pPr>
      <w:r>
        <w:rPr>
          <w:lang w:val="de-DE"/>
        </w:rPr>
        <w:t xml:space="preserve">„Um jedoch konsequent zu sein, </w:t>
      </w:r>
      <w:proofErr w:type="spellStart"/>
      <w:r>
        <w:rPr>
          <w:lang w:val="de-DE"/>
        </w:rPr>
        <w:t>müßte</w:t>
      </w:r>
      <w:proofErr w:type="spellEnd"/>
      <w:r>
        <w:rPr>
          <w:lang w:val="de-DE"/>
        </w:rPr>
        <w:t xml:space="preserve"> das Vertrauen in die ‚Kontinuität‘ der Geschichte zu der klassischen Theorie einer </w:t>
      </w:r>
      <w:r w:rsidRPr="005D75B7">
        <w:rPr>
          <w:i/>
          <w:lang w:val="de-DE"/>
        </w:rPr>
        <w:t>kreisförmigen</w:t>
      </w:r>
      <w:r>
        <w:rPr>
          <w:lang w:val="de-DE"/>
        </w:rPr>
        <w:t xml:space="preserve"> Bewegung zurückkehren; denn nur unter der Voraussetzung einer Bewegung, die ohne Anfang und Ende ist, ist Kontinuität wirklich erweisbar.“ (189) </w:t>
      </w:r>
    </w:p>
    <w:sectPr w:rsidR="005D75B7" w:rsidRPr="00170D84"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D84"/>
    <w:rsid w:val="001231ED"/>
    <w:rsid w:val="00170D84"/>
    <w:rsid w:val="00201FB9"/>
    <w:rsid w:val="00395CDE"/>
    <w:rsid w:val="0055526E"/>
    <w:rsid w:val="005D75B7"/>
    <w:rsid w:val="00635244"/>
    <w:rsid w:val="006E0AF6"/>
    <w:rsid w:val="007848D9"/>
    <w:rsid w:val="00A444E7"/>
    <w:rsid w:val="00C430A4"/>
    <w:rsid w:val="00D44E3D"/>
    <w:rsid w:val="00E93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FFA403A4-64CF-5041-BE0E-005F31992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2021-06-01T11:15:00Z</dcterms:created>
  <dcterms:modified xsi:type="dcterms:W3CDTF">2021-06-01T12:17:00Z</dcterms:modified>
</cp:coreProperties>
</file>