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F0E9A" w:rsidRDefault="00BF0E9A">
      <w:pPr>
        <w:rPr>
          <w:b/>
          <w:lang w:val="de-DE"/>
        </w:rPr>
      </w:pPr>
      <w:r w:rsidRPr="00BF0E9A">
        <w:rPr>
          <w:b/>
          <w:lang w:val="de-DE"/>
        </w:rPr>
        <w:t xml:space="preserve">Jean </w:t>
      </w:r>
      <w:proofErr w:type="spellStart"/>
      <w:r w:rsidRPr="00BF0E9A">
        <w:rPr>
          <w:b/>
          <w:lang w:val="de-DE"/>
        </w:rPr>
        <w:t>Leclercq</w:t>
      </w:r>
      <w:proofErr w:type="spellEnd"/>
      <w:r w:rsidRPr="00BF0E9A">
        <w:rPr>
          <w:b/>
          <w:lang w:val="de-DE"/>
        </w:rPr>
        <w:t>: Wissenschaft und Gottverlangen. Zur Mönchstheologie des Mittelalters. Düsseldorf: Patmos, 1963.</w:t>
      </w:r>
    </w:p>
    <w:p w:rsidR="00BF0E9A" w:rsidRDefault="00BF0E9A">
      <w:pPr>
        <w:rPr>
          <w:lang w:val="de-DE"/>
        </w:rPr>
      </w:pPr>
    </w:p>
    <w:p w:rsidR="00BF0E9A" w:rsidRDefault="00B166A8">
      <w:pPr>
        <w:rPr>
          <w:lang w:val="de-DE"/>
        </w:rPr>
      </w:pPr>
      <w:r>
        <w:rPr>
          <w:lang w:val="de-DE"/>
        </w:rPr>
        <w:t xml:space="preserve">„Das monastische Leben ist für den hl. Benedikt völlig zweckfrei; es ist ganz auf das Heil des Mönches, auf seine Gottsuche </w:t>
      </w:r>
      <w:proofErr w:type="spellStart"/>
      <w:r>
        <w:rPr>
          <w:lang w:val="de-DE"/>
        </w:rPr>
        <w:t>hingeordnet</w:t>
      </w:r>
      <w:proofErr w:type="spellEnd"/>
      <w:r>
        <w:rPr>
          <w:lang w:val="de-DE"/>
        </w:rPr>
        <w:t>, nicht auf irgendeinen Nutzen oder sozialen Wert; von solchen ist niemals die Rede.“ (28)</w:t>
      </w:r>
    </w:p>
    <w:p w:rsidR="00B166A8" w:rsidRDefault="00B636C9">
      <w:pPr>
        <w:rPr>
          <w:lang w:val="de-DE"/>
        </w:rPr>
      </w:pPr>
      <w:r>
        <w:rPr>
          <w:lang w:val="de-DE"/>
        </w:rPr>
        <w:t>„‘Das theoretische Leben, auf das dieses Buch der Heiligen Schrift hinzielt, ist das beschauliche Leben, in dem man sich nur nach den himmlischen Dingen sehnt, wie es die heiligen Mönche und Einsiedler tun.‘“ (66)</w:t>
      </w:r>
    </w:p>
    <w:p w:rsidR="00B636C9" w:rsidRDefault="00B636C9">
      <w:pPr>
        <w:rPr>
          <w:lang w:val="de-DE"/>
        </w:rPr>
      </w:pPr>
      <w:r>
        <w:rPr>
          <w:lang w:val="de-DE"/>
        </w:rPr>
        <w:t>„es gilt nach einem inneren Erleben Verlangen zu erwecken, das mit Worten nicht zu beschreiben ist.“ (67)</w:t>
      </w:r>
    </w:p>
    <w:p w:rsidR="00B636C9" w:rsidRDefault="00B636C9">
      <w:pPr>
        <w:rPr>
          <w:lang w:val="de-DE"/>
        </w:rPr>
      </w:pPr>
      <w:r>
        <w:rPr>
          <w:lang w:val="de-DE"/>
        </w:rPr>
        <w:t xml:space="preserve">„Das </w:t>
      </w:r>
      <w:proofErr w:type="spellStart"/>
      <w:r w:rsidRPr="00B636C9">
        <w:rPr>
          <w:i/>
          <w:lang w:val="de-DE"/>
        </w:rPr>
        <w:t>otium</w:t>
      </w:r>
      <w:proofErr w:type="spellEnd"/>
      <w:r>
        <w:rPr>
          <w:lang w:val="de-DE"/>
        </w:rPr>
        <w:t xml:space="preserve"> liegt in der Mitte zwischen den beiden gefährlichen Extremen, der </w:t>
      </w:r>
      <w:proofErr w:type="spellStart"/>
      <w:r w:rsidRPr="00B636C9">
        <w:rPr>
          <w:i/>
          <w:lang w:val="de-DE"/>
        </w:rPr>
        <w:t>otiositas</w:t>
      </w:r>
      <w:proofErr w:type="spellEnd"/>
      <w:r>
        <w:rPr>
          <w:lang w:val="de-DE"/>
        </w:rPr>
        <w:t xml:space="preserve"> und dem </w:t>
      </w:r>
      <w:proofErr w:type="spellStart"/>
      <w:r w:rsidRPr="00B636C9">
        <w:rPr>
          <w:i/>
          <w:lang w:val="de-DE"/>
        </w:rPr>
        <w:t>negotium</w:t>
      </w:r>
      <w:proofErr w:type="spellEnd"/>
      <w:r>
        <w:rPr>
          <w:lang w:val="de-DE"/>
        </w:rPr>
        <w:t xml:space="preserve">, </w:t>
      </w:r>
      <w:proofErr w:type="gramStart"/>
      <w:r>
        <w:rPr>
          <w:lang w:val="de-DE"/>
        </w:rPr>
        <w:t>das</w:t>
      </w:r>
      <w:proofErr w:type="gramEnd"/>
      <w:r>
        <w:rPr>
          <w:lang w:val="de-DE"/>
        </w:rPr>
        <w:t xml:space="preserve"> ja die Verneinung des </w:t>
      </w:r>
      <w:proofErr w:type="spellStart"/>
      <w:r w:rsidRPr="00B636C9">
        <w:rPr>
          <w:i/>
          <w:lang w:val="de-DE"/>
        </w:rPr>
        <w:t>otium</w:t>
      </w:r>
      <w:proofErr w:type="spellEnd"/>
      <w:r>
        <w:rPr>
          <w:lang w:val="de-DE"/>
        </w:rPr>
        <w:t xml:space="preserve"> darstellt. Das </w:t>
      </w:r>
      <w:proofErr w:type="spellStart"/>
      <w:r w:rsidRPr="00B636C9">
        <w:rPr>
          <w:i/>
          <w:lang w:val="de-DE"/>
        </w:rPr>
        <w:t>otium</w:t>
      </w:r>
      <w:proofErr w:type="spellEnd"/>
      <w:r>
        <w:rPr>
          <w:lang w:val="de-DE"/>
        </w:rPr>
        <w:t xml:space="preserve"> ist die Hauptbeschäftigung des Mönches, sie ist eine sehr beschäftigte Muße: </w:t>
      </w:r>
      <w:proofErr w:type="spellStart"/>
      <w:r w:rsidRPr="00B636C9">
        <w:rPr>
          <w:i/>
          <w:lang w:val="de-DE"/>
        </w:rPr>
        <w:t>negotiosissimum</w:t>
      </w:r>
      <w:proofErr w:type="spellEnd"/>
      <w:r w:rsidRPr="00B636C9">
        <w:rPr>
          <w:i/>
          <w:lang w:val="de-DE"/>
        </w:rPr>
        <w:t xml:space="preserve"> </w:t>
      </w:r>
      <w:proofErr w:type="spellStart"/>
      <w:r w:rsidRPr="00B636C9">
        <w:rPr>
          <w:i/>
          <w:lang w:val="de-DE"/>
        </w:rPr>
        <w:t>otium</w:t>
      </w:r>
      <w:proofErr w:type="spellEnd"/>
      <w:r>
        <w:rPr>
          <w:lang w:val="de-DE"/>
        </w:rPr>
        <w:t>, wie der hl. Bernhard und viele andere immer wiederholt haben.“ (80)</w:t>
      </w:r>
    </w:p>
    <w:p w:rsidR="00B636C9" w:rsidRDefault="00B636C9">
      <w:pPr>
        <w:rPr>
          <w:lang w:val="de-DE"/>
        </w:rPr>
      </w:pPr>
      <w:r>
        <w:rPr>
          <w:lang w:val="de-DE"/>
        </w:rPr>
        <w:t xml:space="preserve">„‘Gott </w:t>
      </w:r>
      <w:r w:rsidR="00C53BCD">
        <w:rPr>
          <w:lang w:val="de-DE"/>
        </w:rPr>
        <w:t xml:space="preserve">verlangt von dem, der zur Schwelle des ewigen Lebens gelangen will, nichts anderes als eine heilige Sehnsucht. Mit anderen Worten, wenn wir auch keine Taten vollbringen können, die der Ewigkeit angemessen sind, laufen wir ungeachtet unserer Niedrigkeit und Trägheit auf sie zu, wenn wir nur Verlangen nach den ewigen Dingen haben. Man verlangt nach dem Essen in dem Maße, wie man müde ist. In gleicher Weise bestimmt das Maß des heiligen Verlangens, inwieweit man Christus sucht, sich mit ihm eint und ihn liebt.‘“ (82) </w:t>
      </w:r>
    </w:p>
    <w:p w:rsidR="00C53BCD" w:rsidRDefault="00C53BCD">
      <w:pPr>
        <w:rPr>
          <w:lang w:val="de-DE"/>
        </w:rPr>
      </w:pPr>
      <w:r>
        <w:rPr>
          <w:lang w:val="de-DE"/>
        </w:rPr>
        <w:t xml:space="preserve">„Die erstere strebt nach Wissen und Wissenschaft, die zweite nach Weisheit und innerem Auskosten. Im Kloster endet die </w:t>
      </w:r>
      <w:proofErr w:type="spellStart"/>
      <w:r w:rsidRPr="00C53BCD">
        <w:rPr>
          <w:i/>
          <w:lang w:val="de-DE"/>
        </w:rPr>
        <w:t>lectio</w:t>
      </w:r>
      <w:proofErr w:type="spellEnd"/>
      <w:r w:rsidRPr="00C53BCD">
        <w:rPr>
          <w:i/>
          <w:lang w:val="de-DE"/>
        </w:rPr>
        <w:t xml:space="preserve"> </w:t>
      </w:r>
      <w:proofErr w:type="spellStart"/>
      <w:r w:rsidRPr="00C53BCD">
        <w:rPr>
          <w:i/>
          <w:lang w:val="de-DE"/>
        </w:rPr>
        <w:t>divina</w:t>
      </w:r>
      <w:proofErr w:type="spellEnd"/>
      <w:r>
        <w:rPr>
          <w:lang w:val="de-DE"/>
        </w:rPr>
        <w:t xml:space="preserve"> als ein Tun, das mit der Grammatik angefangen hat, bei der Zerknirschung und der Sehnsucht nach den Letzten Dingen.“ (85) </w:t>
      </w:r>
    </w:p>
    <w:p w:rsidR="00C53BCD" w:rsidRDefault="00C53BCD">
      <w:pPr>
        <w:rPr>
          <w:lang w:val="de-DE"/>
        </w:rPr>
      </w:pPr>
      <w:r>
        <w:rPr>
          <w:lang w:val="de-DE"/>
        </w:rPr>
        <w:t xml:space="preserve">„Das Wesen der </w:t>
      </w:r>
      <w:proofErr w:type="spellStart"/>
      <w:r w:rsidRPr="00C53BCD">
        <w:rPr>
          <w:i/>
          <w:lang w:val="de-DE"/>
        </w:rPr>
        <w:t>meditatio</w:t>
      </w:r>
      <w:proofErr w:type="spellEnd"/>
      <w:r>
        <w:rPr>
          <w:lang w:val="de-DE"/>
        </w:rPr>
        <w:t xml:space="preserve"> besteht also darin, alle Fähigkeiten des Gedächtnisses aufmerksam zu entwickeln, sie ist von der </w:t>
      </w:r>
      <w:proofErr w:type="spellStart"/>
      <w:r w:rsidRPr="00C53BCD">
        <w:rPr>
          <w:i/>
          <w:lang w:val="de-DE"/>
        </w:rPr>
        <w:t>lectio</w:t>
      </w:r>
      <w:proofErr w:type="spellEnd"/>
      <w:r>
        <w:rPr>
          <w:lang w:val="de-DE"/>
        </w:rPr>
        <w:t xml:space="preserve"> untrennbar und schreibt sozusagen den heiligen Text in den Körper und in den Geist hinein. </w:t>
      </w:r>
    </w:p>
    <w:p w:rsidR="00C53BCD" w:rsidRDefault="00C53BCD">
      <w:pPr>
        <w:rPr>
          <w:lang w:val="de-DE"/>
        </w:rPr>
      </w:pPr>
      <w:r>
        <w:rPr>
          <w:lang w:val="de-DE"/>
        </w:rPr>
        <w:t>Zuweilen stellt sich das Bild des wiederholten ‚Kauens‘ der göttlichen Worte ein, wenn von der göttlichen Ernährung die Rede ist“ (85)</w:t>
      </w:r>
    </w:p>
    <w:p w:rsidR="00C53BCD" w:rsidRDefault="00C53BCD">
      <w:pPr>
        <w:rPr>
          <w:lang w:val="de-DE"/>
        </w:rPr>
      </w:pPr>
      <w:r>
        <w:rPr>
          <w:lang w:val="de-DE"/>
        </w:rPr>
        <w:t>„Meditieren heißt: sich ganz streng an den Satz halten, den man rezitiert, und alle seine Worte abwägen, um ihren Sinn ganz zu fassen. Der Meditierende macht sich den Inhalt eines Textes zu eigen, indem er ihn gleichsam verspeist und seinen Geschmack empfindet, er kostet ihn“ (86)</w:t>
      </w:r>
    </w:p>
    <w:p w:rsidR="00C53BCD" w:rsidRDefault="00C53BCD">
      <w:pPr>
        <w:rPr>
          <w:lang w:val="de-DE"/>
        </w:rPr>
      </w:pPr>
      <w:r>
        <w:rPr>
          <w:lang w:val="de-DE"/>
        </w:rPr>
        <w:t>„‘Wenn der Mönch liest, soll er den Geschmack des Textes auskosten und nicht Wissen</w:t>
      </w:r>
      <w:r w:rsidR="008A0E47">
        <w:rPr>
          <w:lang w:val="de-DE"/>
        </w:rPr>
        <w:t xml:space="preserve"> zu erlangen versuchen. Die Heilige Schrift ist der Brunnen Jakobs, aus dem man Wasser heraufzieht und es dann im Gebet austeilt.‘“ (86) </w:t>
      </w:r>
    </w:p>
    <w:p w:rsidR="008A0E47" w:rsidRDefault="003F6BD2">
      <w:pPr>
        <w:rPr>
          <w:lang w:val="de-DE"/>
        </w:rPr>
      </w:pPr>
      <w:r>
        <w:rPr>
          <w:lang w:val="de-DE"/>
        </w:rPr>
        <w:t xml:space="preserve">„Die monastische Exegese erklärt die Heilige Schrift durch die Heilige Schrift, jedes Wort durch das Wort selbst. Ihr mystischer Charakter dagegen beruht auf der Gesamtvorstellung, die der Mönch von der Heiligen Schrift hat. Denn für ihn ist sie nicht zuerst eine Quelle der Erkenntnis und wissenschaftlichen Forschung, sondern ein Mittel zum Heil; sie vermittelt das ‚Heilswissen‘, </w:t>
      </w:r>
      <w:proofErr w:type="spellStart"/>
      <w:r w:rsidRPr="003F6BD2">
        <w:rPr>
          <w:i/>
          <w:lang w:val="de-DE"/>
        </w:rPr>
        <w:t>salutaris</w:t>
      </w:r>
      <w:proofErr w:type="spellEnd"/>
      <w:r w:rsidRPr="003F6BD2">
        <w:rPr>
          <w:i/>
          <w:lang w:val="de-DE"/>
        </w:rPr>
        <w:t xml:space="preserve"> </w:t>
      </w:r>
      <w:proofErr w:type="spellStart"/>
      <w:r w:rsidRPr="003F6BD2">
        <w:rPr>
          <w:i/>
          <w:lang w:val="de-DE"/>
        </w:rPr>
        <w:t>scientia</w:t>
      </w:r>
      <w:proofErr w:type="spellEnd"/>
      <w:r>
        <w:rPr>
          <w:lang w:val="de-DE"/>
        </w:rPr>
        <w:t>.“ (94)</w:t>
      </w:r>
    </w:p>
    <w:p w:rsidR="003F6BD2" w:rsidRDefault="003F6BD2">
      <w:pPr>
        <w:rPr>
          <w:lang w:val="de-DE"/>
        </w:rPr>
      </w:pPr>
      <w:r>
        <w:rPr>
          <w:lang w:val="de-DE"/>
        </w:rPr>
        <w:t xml:space="preserve">„Der scholastische Kommentar bietet in einem klaren und meist knappen Stil Lehren, die sich an den Verstand wenden. Der monastische Kommentar wendet sich an den ganzen Menschen – er will weniger belehren als bewegen.“ (100) </w:t>
      </w:r>
    </w:p>
    <w:p w:rsidR="003F6BD2" w:rsidRDefault="003F6BD2">
      <w:pPr>
        <w:rPr>
          <w:lang w:val="de-DE"/>
        </w:rPr>
      </w:pPr>
      <w:r>
        <w:rPr>
          <w:lang w:val="de-DE"/>
        </w:rPr>
        <w:lastRenderedPageBreak/>
        <w:t xml:space="preserve">„Das Eigentümliche der Kontemplation besteht ja darin, die Sehnsucht nach dem ewigen Leben wachzuhalten.“ (102) </w:t>
      </w:r>
    </w:p>
    <w:p w:rsidR="003F6BD2" w:rsidRDefault="003F6BD2">
      <w:pPr>
        <w:rPr>
          <w:lang w:val="de-DE"/>
        </w:rPr>
      </w:pPr>
      <w:r>
        <w:rPr>
          <w:lang w:val="de-DE"/>
        </w:rPr>
        <w:t xml:space="preserve">„Und doch ist der ständig gleiche Gebrauch des Wortes </w:t>
      </w:r>
      <w:proofErr w:type="spellStart"/>
      <w:r w:rsidRPr="002C67A3">
        <w:rPr>
          <w:i/>
          <w:lang w:val="de-DE"/>
        </w:rPr>
        <w:t>theoria</w:t>
      </w:r>
      <w:proofErr w:type="spellEnd"/>
      <w:r>
        <w:rPr>
          <w:lang w:val="de-DE"/>
        </w:rPr>
        <w:t xml:space="preserve"> im Mittelalter überreichlich bezeugt. Der </w:t>
      </w:r>
      <w:proofErr w:type="spellStart"/>
      <w:r w:rsidRPr="002C67A3">
        <w:rPr>
          <w:i/>
          <w:lang w:val="de-DE"/>
        </w:rPr>
        <w:t>bios</w:t>
      </w:r>
      <w:proofErr w:type="spellEnd"/>
      <w:r w:rsidRPr="002C67A3">
        <w:rPr>
          <w:i/>
          <w:lang w:val="de-DE"/>
        </w:rPr>
        <w:t xml:space="preserve"> </w:t>
      </w:r>
      <w:proofErr w:type="spellStart"/>
      <w:r w:rsidRPr="002C67A3">
        <w:rPr>
          <w:i/>
          <w:lang w:val="de-DE"/>
        </w:rPr>
        <w:t>theoretikos</w:t>
      </w:r>
      <w:proofErr w:type="spellEnd"/>
      <w:r>
        <w:rPr>
          <w:lang w:val="de-DE"/>
        </w:rPr>
        <w:t xml:space="preserve"> der alten griechischen Philosophen und der Neuplatoniker war in abgewandelter, der christlichen Lebensordnung </w:t>
      </w:r>
      <w:proofErr w:type="spellStart"/>
      <w:r>
        <w:rPr>
          <w:lang w:val="de-DE"/>
        </w:rPr>
        <w:t>angepaßter</w:t>
      </w:r>
      <w:proofErr w:type="spellEnd"/>
      <w:r>
        <w:rPr>
          <w:lang w:val="de-DE"/>
        </w:rPr>
        <w:t xml:space="preserve"> Bedeutung in die Terminologie der alten christlichen Mystik eingegangen. […] Das führt zu den Worten </w:t>
      </w:r>
      <w:proofErr w:type="spellStart"/>
      <w:r w:rsidRPr="002C67A3">
        <w:rPr>
          <w:i/>
          <w:lang w:val="de-DE"/>
        </w:rPr>
        <w:t>theoricus</w:t>
      </w:r>
      <w:proofErr w:type="spellEnd"/>
      <w:r>
        <w:rPr>
          <w:lang w:val="de-DE"/>
        </w:rPr>
        <w:t xml:space="preserve"> und </w:t>
      </w:r>
      <w:proofErr w:type="spellStart"/>
      <w:r w:rsidRPr="002C67A3">
        <w:rPr>
          <w:i/>
          <w:lang w:val="de-DE"/>
        </w:rPr>
        <w:t>theoreticus</w:t>
      </w:r>
      <w:proofErr w:type="spellEnd"/>
      <w:r>
        <w:rPr>
          <w:lang w:val="de-DE"/>
        </w:rPr>
        <w:t xml:space="preserve"> in Ausdrücken wie </w:t>
      </w:r>
      <w:proofErr w:type="spellStart"/>
      <w:r w:rsidRPr="002C67A3">
        <w:rPr>
          <w:i/>
          <w:lang w:val="de-DE"/>
        </w:rPr>
        <w:t>theorica</w:t>
      </w:r>
      <w:proofErr w:type="spellEnd"/>
      <w:r w:rsidRPr="002C67A3">
        <w:rPr>
          <w:i/>
          <w:lang w:val="de-DE"/>
        </w:rPr>
        <w:t xml:space="preserve"> </w:t>
      </w:r>
      <w:proofErr w:type="spellStart"/>
      <w:r w:rsidRPr="002C67A3">
        <w:rPr>
          <w:i/>
          <w:lang w:val="de-DE"/>
        </w:rPr>
        <w:t>mysteria</w:t>
      </w:r>
      <w:proofErr w:type="spellEnd"/>
      <w:r w:rsidRPr="002C67A3">
        <w:rPr>
          <w:i/>
          <w:lang w:val="de-DE"/>
        </w:rPr>
        <w:t xml:space="preserve">, </w:t>
      </w:r>
      <w:proofErr w:type="spellStart"/>
      <w:r w:rsidRPr="002C67A3">
        <w:rPr>
          <w:i/>
          <w:lang w:val="de-DE"/>
        </w:rPr>
        <w:t>theorica</w:t>
      </w:r>
      <w:proofErr w:type="spellEnd"/>
      <w:r w:rsidRPr="002C67A3">
        <w:rPr>
          <w:i/>
          <w:lang w:val="de-DE"/>
        </w:rPr>
        <w:t xml:space="preserve"> </w:t>
      </w:r>
      <w:proofErr w:type="spellStart"/>
      <w:r w:rsidRPr="002C67A3">
        <w:rPr>
          <w:i/>
          <w:lang w:val="de-DE"/>
        </w:rPr>
        <w:t>studia</w:t>
      </w:r>
      <w:proofErr w:type="spellEnd"/>
      <w:r>
        <w:rPr>
          <w:lang w:val="de-DE"/>
        </w:rPr>
        <w:t>, die nicht mit ‚theoretischen Studien‘</w:t>
      </w:r>
      <w:r w:rsidR="002C67A3">
        <w:rPr>
          <w:lang w:val="de-DE"/>
        </w:rPr>
        <w:t xml:space="preserve"> zu übersetzen sind, sondern mit ‚Liebe zum Gebet‘.“ (117)</w:t>
      </w:r>
    </w:p>
    <w:p w:rsidR="002C67A3" w:rsidRDefault="002C67A3">
      <w:pPr>
        <w:rPr>
          <w:lang w:val="de-DE"/>
        </w:rPr>
      </w:pPr>
      <w:r>
        <w:rPr>
          <w:lang w:val="de-DE"/>
        </w:rPr>
        <w:t>„Wichtig war nicht, was er gesagt hatte oder hatte sagen wollen oder in seiner Zeit und Umgebung hatte sagen können, sondern was man als Christ des 10. oder 12. Jahrhunderts aus ihm herauslas. […] Die Schriften lebten in ihren Lesern weiter und förderten ihr Verlangen nach Weisheit sowie ihr sittliches Streben.“ (137)</w:t>
      </w:r>
    </w:p>
    <w:p w:rsidR="002C67A3" w:rsidRDefault="002C67A3">
      <w:pPr>
        <w:rPr>
          <w:lang w:val="de-DE"/>
        </w:rPr>
      </w:pPr>
      <w:r>
        <w:rPr>
          <w:lang w:val="de-DE"/>
        </w:rPr>
        <w:t xml:space="preserve">„‘Kann er den Pflug nicht in die Hand nehmen? Er nehme die Feder, das ist wertvoller! In die Furchen, die er auf dem Pergament zieht, wird er den Samen des Wortes Gottes streuen. Er predigt, ohne seinen Mund aufzumachen; ohne das Schweigen zu brechen, </w:t>
      </w:r>
      <w:proofErr w:type="spellStart"/>
      <w:r>
        <w:rPr>
          <w:lang w:val="de-DE"/>
        </w:rPr>
        <w:t>läßt</w:t>
      </w:r>
      <w:proofErr w:type="spellEnd"/>
      <w:r>
        <w:rPr>
          <w:lang w:val="de-DE"/>
        </w:rPr>
        <w:t xml:space="preserve"> er in den Ohren der Völker die Weisungen des Herrn widerhallen; ohne die Klausur zu verlassen, eilt er über Land und Meer.‘“ (141) </w:t>
      </w:r>
    </w:p>
    <w:p w:rsidR="002C67A3" w:rsidRDefault="002C67A3">
      <w:pPr>
        <w:rPr>
          <w:lang w:val="de-DE"/>
        </w:rPr>
      </w:pPr>
      <w:r>
        <w:rPr>
          <w:lang w:val="de-DE"/>
        </w:rPr>
        <w:t xml:space="preserve">„in der Form von Predigten, sind also mehr Ermahnungen als Erklärungen.“ (172) </w:t>
      </w:r>
    </w:p>
    <w:p w:rsidR="002C67A3" w:rsidRDefault="002C67A3">
      <w:pPr>
        <w:rPr>
          <w:lang w:val="de-DE"/>
        </w:rPr>
      </w:pPr>
      <w:r>
        <w:rPr>
          <w:lang w:val="de-DE"/>
        </w:rPr>
        <w:t>„‘Damals fand alles, was die Alten recht gesagt hatten, Gefallen.</w:t>
      </w:r>
    </w:p>
    <w:p w:rsidR="002C67A3" w:rsidRDefault="002C67A3">
      <w:pPr>
        <w:rPr>
          <w:lang w:val="de-DE"/>
        </w:rPr>
      </w:pPr>
      <w:r>
        <w:rPr>
          <w:lang w:val="de-DE"/>
        </w:rPr>
        <w:t xml:space="preserve">Heute gefallen nur die Neuerungen …“ (224) </w:t>
      </w:r>
    </w:p>
    <w:p w:rsidR="002C67A3" w:rsidRDefault="002C67A3">
      <w:pPr>
        <w:rPr>
          <w:lang w:val="de-DE"/>
        </w:rPr>
      </w:pPr>
      <w:r>
        <w:rPr>
          <w:lang w:val="de-DE"/>
        </w:rPr>
        <w:t xml:space="preserve">„unnütze Probleme fallen lassen: das ist die erste Aufgabe der Einfalt.“ (232) </w:t>
      </w:r>
    </w:p>
    <w:p w:rsidR="002C67A3" w:rsidRDefault="008F023D">
      <w:pPr>
        <w:rPr>
          <w:lang w:val="de-DE"/>
        </w:rPr>
      </w:pPr>
      <w:r>
        <w:rPr>
          <w:lang w:val="de-DE"/>
        </w:rPr>
        <w:t>„Ist diese Furcht vor der Aufgeblasenheit, die aus einem ungebändigten Wissensdrang kommt, nun ein literarisches Thema oder etwas, das die Erfahrung gelehrt hat?</w:t>
      </w:r>
      <w:r w:rsidR="00BA7FCB">
        <w:rPr>
          <w:lang w:val="de-DE"/>
        </w:rPr>
        <w:t xml:space="preserve">“ (233) </w:t>
      </w:r>
    </w:p>
    <w:p w:rsidR="00BA7FCB" w:rsidRDefault="00BA7FCB">
      <w:pPr>
        <w:rPr>
          <w:lang w:val="de-DE"/>
        </w:rPr>
      </w:pPr>
      <w:r>
        <w:rPr>
          <w:lang w:val="de-DE"/>
        </w:rPr>
        <w:t>„‘Dieses Wissen stammt nicht aus einem äußerlichen und gleichsam fremden Dokument, es stammt vielmehr aus der inneren und persönlichen Erfahrung.‘“ (241)</w:t>
      </w:r>
    </w:p>
    <w:p w:rsidR="00BA7FCB" w:rsidRDefault="00BA7FCB">
      <w:pPr>
        <w:rPr>
          <w:lang w:val="de-DE"/>
        </w:rPr>
      </w:pPr>
      <w:r>
        <w:rPr>
          <w:lang w:val="de-DE"/>
        </w:rPr>
        <w:t xml:space="preserve">„Mehr als die scholastischen Gelehrten weisen sie darauf hin, </w:t>
      </w:r>
      <w:proofErr w:type="spellStart"/>
      <w:r>
        <w:rPr>
          <w:lang w:val="de-DE"/>
        </w:rPr>
        <w:t>daß</w:t>
      </w:r>
      <w:proofErr w:type="spellEnd"/>
      <w:r>
        <w:rPr>
          <w:lang w:val="de-DE"/>
        </w:rPr>
        <w:t xml:space="preserve"> die Theologie auf einer Erkenntnisweise beruht, die den möglichen Erkenntnisweisen der Vernunft überlegen ist.“ (243)</w:t>
      </w:r>
    </w:p>
    <w:p w:rsidR="00BA7FCB" w:rsidRDefault="00BA7FCB">
      <w:pPr>
        <w:rPr>
          <w:lang w:val="de-DE"/>
        </w:rPr>
      </w:pPr>
      <w:r>
        <w:rPr>
          <w:lang w:val="de-DE"/>
        </w:rPr>
        <w:t xml:space="preserve">„‘Dort hören wir, was die Weisheit lehrt, hier empfangen wir sie in uns. Dort werden wir belehrt, hier ergriffen.‘“ (244) </w:t>
      </w:r>
    </w:p>
    <w:p w:rsidR="00BA7FCB" w:rsidRDefault="00BA7FCB">
      <w:pPr>
        <w:rPr>
          <w:lang w:val="de-DE"/>
        </w:rPr>
      </w:pPr>
      <w:r>
        <w:rPr>
          <w:lang w:val="de-DE"/>
        </w:rPr>
        <w:t xml:space="preserve">„Die monastische Theologie stützt sich auf die innere Erfahrung, das ist ihr besonderes Merkmal.“ (253) </w:t>
      </w:r>
    </w:p>
    <w:p w:rsidR="009A091D" w:rsidRDefault="009A091D">
      <w:pPr>
        <w:rPr>
          <w:lang w:val="de-DE"/>
        </w:rPr>
      </w:pPr>
      <w:r>
        <w:rPr>
          <w:lang w:val="de-DE"/>
        </w:rPr>
        <w:t>„</w:t>
      </w:r>
      <w:proofErr w:type="spellStart"/>
      <w:r w:rsidRPr="009A091D">
        <w:rPr>
          <w:i/>
          <w:lang w:val="de-DE"/>
        </w:rPr>
        <w:t>stupor</w:t>
      </w:r>
      <w:proofErr w:type="spellEnd"/>
      <w:r w:rsidRPr="009A091D">
        <w:rPr>
          <w:i/>
          <w:lang w:val="de-DE"/>
        </w:rPr>
        <w:t xml:space="preserve"> et </w:t>
      </w:r>
      <w:proofErr w:type="spellStart"/>
      <w:r w:rsidRPr="009A091D">
        <w:rPr>
          <w:i/>
          <w:lang w:val="de-DE"/>
        </w:rPr>
        <w:t>admiratio</w:t>
      </w:r>
      <w:proofErr w:type="spellEnd"/>
      <w:r>
        <w:rPr>
          <w:lang w:val="de-DE"/>
        </w:rPr>
        <w:t>“ (256)</w:t>
      </w:r>
    </w:p>
    <w:p w:rsidR="009A091D" w:rsidRDefault="009A091D">
      <w:pPr>
        <w:rPr>
          <w:lang w:val="de-DE"/>
        </w:rPr>
      </w:pPr>
      <w:r>
        <w:rPr>
          <w:lang w:val="de-DE"/>
        </w:rPr>
        <w:t>„Die monastische Theologie ist eine Theologie der Bewunderung und insofern mehr als nur Theologie der spekulativen Schau.“ (257)</w:t>
      </w:r>
    </w:p>
    <w:p w:rsidR="009A091D" w:rsidRDefault="009A091D">
      <w:pPr>
        <w:rPr>
          <w:lang w:val="de-DE"/>
        </w:rPr>
      </w:pPr>
      <w:r>
        <w:rPr>
          <w:lang w:val="de-DE"/>
        </w:rPr>
        <w:t xml:space="preserve">„Gott verschenkt sich ganz; wenn der Christ ihn aufnehmen will, </w:t>
      </w:r>
      <w:proofErr w:type="spellStart"/>
      <w:r>
        <w:rPr>
          <w:lang w:val="de-DE"/>
        </w:rPr>
        <w:t>muß</w:t>
      </w:r>
      <w:proofErr w:type="spellEnd"/>
      <w:r>
        <w:rPr>
          <w:lang w:val="de-DE"/>
        </w:rPr>
        <w:t xml:space="preserve"> er sein ganzes Leben dafür einsetzen“ (258) </w:t>
      </w:r>
    </w:p>
    <w:p w:rsidR="009A091D" w:rsidRDefault="009A091D">
      <w:pPr>
        <w:rPr>
          <w:lang w:val="de-DE"/>
        </w:rPr>
      </w:pPr>
      <w:r>
        <w:rPr>
          <w:lang w:val="de-DE"/>
        </w:rPr>
        <w:t xml:space="preserve">„Das 13. Jahrhundert z.B. brachte die meisten Werke hervor und ist, so gesehen, das größte Jahrhundert des Mittelalters. Seine Menschen jedoch waren weniger gebildet als die Menschen vergangener Jahrhunderte, die in der glücklichen Lage waren, nichts hervorbringen zu müssen; es genügte ihnen, einfach </w:t>
      </w:r>
      <w:proofErr w:type="spellStart"/>
      <w:r>
        <w:rPr>
          <w:lang w:val="de-DE"/>
        </w:rPr>
        <w:t>dazusein</w:t>
      </w:r>
      <w:proofErr w:type="spellEnd"/>
      <w:r>
        <w:rPr>
          <w:lang w:val="de-DE"/>
        </w:rPr>
        <w:t>.“ (283)</w:t>
      </w:r>
    </w:p>
    <w:p w:rsidR="009A091D" w:rsidRDefault="009A091D">
      <w:pPr>
        <w:rPr>
          <w:lang w:val="de-DE"/>
        </w:rPr>
      </w:pPr>
      <w:r>
        <w:rPr>
          <w:lang w:val="de-DE"/>
        </w:rPr>
        <w:t>„Keine geschriebene Literatur, selbst nicht die Heilige Schrift, kann den, der das Wort Gottes in sich vernehmen will, von dieser inneren Frömmigkeit entbinden</w:t>
      </w:r>
      <w:r w:rsidR="00110F16">
        <w:rPr>
          <w:lang w:val="de-DE"/>
        </w:rPr>
        <w:t xml:space="preserve">: ‚Wir lesen heute im Buche der inneren Erfahrung‘, so hatte Bernhard gesagt, und einer seiner Schüler hat es noch genauer ausgedrückt: ‚Ich denke, meine Brüder, </w:t>
      </w:r>
      <w:proofErr w:type="spellStart"/>
      <w:r w:rsidR="00110F16">
        <w:rPr>
          <w:lang w:val="de-DE"/>
        </w:rPr>
        <w:t>daß</w:t>
      </w:r>
      <w:proofErr w:type="spellEnd"/>
      <w:r w:rsidR="00110F16">
        <w:rPr>
          <w:lang w:val="de-DE"/>
        </w:rPr>
        <w:t xml:space="preserve"> ihr mehr im Buche eurer inneren Erfahrung, in </w:t>
      </w:r>
      <w:r w:rsidR="00110F16">
        <w:rPr>
          <w:lang w:val="de-DE"/>
        </w:rPr>
        <w:lastRenderedPageBreak/>
        <w:t xml:space="preserve">eurem Herzen gelesen habt als in einer Handschrift: </w:t>
      </w:r>
      <w:r w:rsidR="00110F16" w:rsidRPr="00110F16">
        <w:rPr>
          <w:i/>
          <w:lang w:val="de-DE"/>
        </w:rPr>
        <w:t xml:space="preserve">et in </w:t>
      </w:r>
      <w:proofErr w:type="spellStart"/>
      <w:r w:rsidR="00110F16" w:rsidRPr="00110F16">
        <w:rPr>
          <w:i/>
          <w:lang w:val="de-DE"/>
        </w:rPr>
        <w:t>corde</w:t>
      </w:r>
      <w:proofErr w:type="spellEnd"/>
      <w:r w:rsidR="00110F16" w:rsidRPr="00110F16">
        <w:rPr>
          <w:i/>
          <w:lang w:val="de-DE"/>
        </w:rPr>
        <w:t xml:space="preserve"> </w:t>
      </w:r>
      <w:proofErr w:type="spellStart"/>
      <w:r w:rsidR="00110F16" w:rsidRPr="00110F16">
        <w:rPr>
          <w:i/>
          <w:lang w:val="de-DE"/>
        </w:rPr>
        <w:t>magis</w:t>
      </w:r>
      <w:proofErr w:type="spellEnd"/>
      <w:r w:rsidR="00110F16" w:rsidRPr="00110F16">
        <w:rPr>
          <w:i/>
          <w:lang w:val="de-DE"/>
        </w:rPr>
        <w:t xml:space="preserve"> </w:t>
      </w:r>
      <w:proofErr w:type="spellStart"/>
      <w:r w:rsidR="00110F16" w:rsidRPr="00110F16">
        <w:rPr>
          <w:i/>
          <w:lang w:val="de-DE"/>
        </w:rPr>
        <w:t>quam</w:t>
      </w:r>
      <w:proofErr w:type="spellEnd"/>
      <w:r w:rsidR="00110F16" w:rsidRPr="00110F16">
        <w:rPr>
          <w:i/>
          <w:lang w:val="de-DE"/>
        </w:rPr>
        <w:t xml:space="preserve"> in </w:t>
      </w:r>
      <w:proofErr w:type="spellStart"/>
      <w:r w:rsidR="00110F16" w:rsidRPr="00110F16">
        <w:rPr>
          <w:i/>
          <w:lang w:val="de-DE"/>
        </w:rPr>
        <w:t>omni</w:t>
      </w:r>
      <w:proofErr w:type="spellEnd"/>
      <w:r w:rsidR="00110F16" w:rsidRPr="00110F16">
        <w:rPr>
          <w:i/>
          <w:lang w:val="de-DE"/>
        </w:rPr>
        <w:t xml:space="preserve"> </w:t>
      </w:r>
      <w:proofErr w:type="spellStart"/>
      <w:r w:rsidR="00110F16" w:rsidRPr="00110F16">
        <w:rPr>
          <w:i/>
          <w:lang w:val="de-DE"/>
        </w:rPr>
        <w:t>codice</w:t>
      </w:r>
      <w:proofErr w:type="spellEnd"/>
      <w:r w:rsidR="00110F16">
        <w:rPr>
          <w:lang w:val="de-DE"/>
        </w:rPr>
        <w:t>.‘“ (287)</w:t>
      </w:r>
    </w:p>
    <w:p w:rsidR="00110F16" w:rsidRPr="00BF0E9A" w:rsidRDefault="00110F16">
      <w:pPr>
        <w:rPr>
          <w:lang w:val="de-DE"/>
        </w:rPr>
      </w:pPr>
      <w:r>
        <w:rPr>
          <w:lang w:val="de-DE"/>
        </w:rPr>
        <w:t xml:space="preserve">„Petrus von Celle und andere haben von dem Konflikt, der zwischen ‚Wissen‘ und ‚Gewissen‘ entstehen kann, gesprochen; durch ihr Beispiel haben sie aber ebenso bewiesen, </w:t>
      </w:r>
      <w:proofErr w:type="spellStart"/>
      <w:r>
        <w:rPr>
          <w:lang w:val="de-DE"/>
        </w:rPr>
        <w:t>daß</w:t>
      </w:r>
      <w:proofErr w:type="spellEnd"/>
      <w:r>
        <w:rPr>
          <w:lang w:val="de-DE"/>
        </w:rPr>
        <w:t xml:space="preserve"> er sich lösen </w:t>
      </w:r>
      <w:proofErr w:type="spellStart"/>
      <w:r>
        <w:rPr>
          <w:lang w:val="de-DE"/>
        </w:rPr>
        <w:t>läßt</w:t>
      </w:r>
      <w:proofErr w:type="spellEnd"/>
      <w:r>
        <w:rPr>
          <w:lang w:val="de-DE"/>
        </w:rPr>
        <w:t xml:space="preserve">.“ (287) </w:t>
      </w:r>
      <w:bookmarkStart w:id="0" w:name="_GoBack"/>
      <w:bookmarkEnd w:id="0"/>
    </w:p>
    <w:sectPr w:rsidR="00110F16" w:rsidRPr="00BF0E9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9A"/>
    <w:rsid w:val="00110F16"/>
    <w:rsid w:val="001231ED"/>
    <w:rsid w:val="002C67A3"/>
    <w:rsid w:val="00395CDE"/>
    <w:rsid w:val="003F6BD2"/>
    <w:rsid w:val="0055526E"/>
    <w:rsid w:val="00635244"/>
    <w:rsid w:val="006E0AF6"/>
    <w:rsid w:val="008A0E47"/>
    <w:rsid w:val="008F023D"/>
    <w:rsid w:val="009A091D"/>
    <w:rsid w:val="00B166A8"/>
    <w:rsid w:val="00B636C9"/>
    <w:rsid w:val="00BA7FCB"/>
    <w:rsid w:val="00BF0E9A"/>
    <w:rsid w:val="00C53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DF0AE92-4DDF-404C-A048-53D5744C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2019-05-23T11:10:00Z</dcterms:created>
  <dcterms:modified xsi:type="dcterms:W3CDTF">2019-05-23T12:15:00Z</dcterms:modified>
</cp:coreProperties>
</file>