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D6644" w14:textId="77777777" w:rsidR="006A41F3" w:rsidRPr="00FC386E" w:rsidRDefault="00FE44B1">
      <w:pPr>
        <w:rPr>
          <w:b/>
          <w:lang w:val="de-DE"/>
        </w:rPr>
      </w:pPr>
      <w:r w:rsidRPr="00FC386E">
        <w:rPr>
          <w:b/>
          <w:lang w:val="de-DE"/>
        </w:rPr>
        <w:t>Helmut Kuhn: Begegnung mit dem Sein. Meditationen zur Metaphysik des Gewissens. Tübingen: Mohr Siebeck, 1954.</w:t>
      </w:r>
    </w:p>
    <w:p w14:paraId="7C291218" w14:textId="77777777" w:rsidR="00FE44B1" w:rsidRDefault="00FE44B1">
      <w:pPr>
        <w:rPr>
          <w:lang w:val="de-DE"/>
        </w:rPr>
      </w:pPr>
    </w:p>
    <w:p w14:paraId="4EA8294A" w14:textId="77777777" w:rsidR="00C43357" w:rsidRDefault="00C43357">
      <w:pPr>
        <w:rPr>
          <w:lang w:val="de-DE"/>
        </w:rPr>
      </w:pPr>
      <w:r>
        <w:rPr>
          <w:lang w:val="de-DE"/>
        </w:rPr>
        <w:t xml:space="preserve">„Die Begegnung mit dem Sein im Seienden kann nur so erfolgen, </w:t>
      </w:r>
      <w:proofErr w:type="spellStart"/>
      <w:r>
        <w:rPr>
          <w:lang w:val="de-DE"/>
        </w:rPr>
        <w:t>daß</w:t>
      </w:r>
      <w:proofErr w:type="spellEnd"/>
      <w:r>
        <w:rPr>
          <w:lang w:val="de-DE"/>
        </w:rPr>
        <w:t xml:space="preserve"> der Sinn von Sein [3] erfahren – </w:t>
      </w:r>
      <w:proofErr w:type="spellStart"/>
      <w:r>
        <w:rPr>
          <w:lang w:val="de-DE"/>
        </w:rPr>
        <w:t>daß</w:t>
      </w:r>
      <w:proofErr w:type="spellEnd"/>
      <w:r>
        <w:rPr>
          <w:lang w:val="de-DE"/>
        </w:rPr>
        <w:t xml:space="preserve"> Sein als sich sinnvoll in gestuftem Seienden ausgliedernd verstanden wird.“ (2-3)</w:t>
      </w:r>
    </w:p>
    <w:p w14:paraId="2444DE6A" w14:textId="77777777" w:rsidR="00C43357" w:rsidRDefault="00C43357">
      <w:pPr>
        <w:rPr>
          <w:lang w:val="de-DE"/>
        </w:rPr>
      </w:pPr>
      <w:r>
        <w:rPr>
          <w:lang w:val="de-DE"/>
        </w:rPr>
        <w:t xml:space="preserve">„enthüllt sich der Sinn einem gleichsam entgegenkommenden Akt der Übereinstimmung, der Bejahung – der ‚ontologischen Affirmation‘ als dem menschlichen Gegenstück der göttlichen </w:t>
      </w:r>
      <w:proofErr w:type="spellStart"/>
      <w:r>
        <w:rPr>
          <w:lang w:val="de-DE"/>
        </w:rPr>
        <w:t>Sabbath</w:t>
      </w:r>
      <w:proofErr w:type="spellEnd"/>
      <w:r>
        <w:rPr>
          <w:lang w:val="de-DE"/>
        </w:rPr>
        <w:t xml:space="preserve">-Betrachtung: ‚Und siehe, es war sehr gut.‘ Der Sinn ist aber, und auch dies gehört zu seinem Wesen, nicht wirklich gegeben, sondern er ist der Weg zu sich selbst, der sich in der Aufgliederung des Seins zur Vielheit des Seienden erschließt. Die ontologische Affirmation ist daher für das unterwegs befindliche, fragend-suchende Erkennen nicht schon die vollendete Koinzidenz von Sich-geben und Hinnahme, sondern Entwurf und Vorwegnahme nach Art einer Hypothese – und im Horizont dieser Vorwegnahme findet die ‚Begegnung mit dem Sein‘ in Seiendem statt.“ (3) </w:t>
      </w:r>
    </w:p>
    <w:p w14:paraId="01155CE2" w14:textId="77777777" w:rsidR="007957D7" w:rsidRDefault="007957D7">
      <w:pPr>
        <w:rPr>
          <w:lang w:val="de-DE"/>
        </w:rPr>
      </w:pPr>
      <w:r>
        <w:rPr>
          <w:lang w:val="de-DE"/>
        </w:rPr>
        <w:t xml:space="preserve">„der Sinn von Sein kann sich nicht anders </w:t>
      </w:r>
      <w:r w:rsidR="00B244EE">
        <w:rPr>
          <w:lang w:val="de-DE"/>
        </w:rPr>
        <w:t>darstellen denn als Ordnung“ (4)</w:t>
      </w:r>
    </w:p>
    <w:p w14:paraId="2B98EB72" w14:textId="77777777" w:rsidR="00FE44B1" w:rsidRDefault="00FE44B1">
      <w:pPr>
        <w:rPr>
          <w:lang w:val="de-DE"/>
        </w:rPr>
      </w:pPr>
      <w:r>
        <w:rPr>
          <w:lang w:val="de-DE"/>
        </w:rPr>
        <w:t xml:space="preserve">„Es liegt im Wesen der </w:t>
      </w:r>
      <w:proofErr w:type="spellStart"/>
      <w:r>
        <w:rPr>
          <w:lang w:val="de-DE"/>
        </w:rPr>
        <w:t>Seinsordnung</w:t>
      </w:r>
      <w:proofErr w:type="spellEnd"/>
      <w:r>
        <w:rPr>
          <w:lang w:val="de-DE"/>
        </w:rPr>
        <w:t xml:space="preserve">, </w:t>
      </w:r>
      <w:proofErr w:type="spellStart"/>
      <w:r>
        <w:rPr>
          <w:lang w:val="de-DE"/>
        </w:rPr>
        <w:t>daß</w:t>
      </w:r>
      <w:proofErr w:type="spellEnd"/>
      <w:r>
        <w:rPr>
          <w:lang w:val="de-DE"/>
        </w:rPr>
        <w:t xml:space="preserve"> sie im Leben der Person bestätigt oder verfehlt, erfüllt oder verletzt werden kann. Das Organ, mittels dessen die Person der verletzbaren oder verletzten Ordnung gewahr wird, heißt das Gewissen.“ (4)</w:t>
      </w:r>
    </w:p>
    <w:p w14:paraId="248D47BD" w14:textId="77777777" w:rsidR="00B244EE" w:rsidRDefault="00B244EE">
      <w:pPr>
        <w:rPr>
          <w:lang w:val="de-DE"/>
        </w:rPr>
      </w:pPr>
      <w:r>
        <w:rPr>
          <w:lang w:val="de-DE"/>
        </w:rPr>
        <w:t xml:space="preserve">„Das Organ des Gewissens ist freilich, genauer gesprochen, die Person selbst, die sich erst durch ihr </w:t>
      </w:r>
      <w:proofErr w:type="spellStart"/>
      <w:r>
        <w:rPr>
          <w:lang w:val="de-DE"/>
        </w:rPr>
        <w:t>Gewahrwerden</w:t>
      </w:r>
      <w:proofErr w:type="spellEnd"/>
      <w:r>
        <w:rPr>
          <w:lang w:val="de-DE"/>
        </w:rPr>
        <w:t xml:space="preserve"> (der Ordnung als verletzbar oder verletzt) als Person ausweist.“ (4) </w:t>
      </w:r>
    </w:p>
    <w:p w14:paraId="5B05DC09" w14:textId="77777777" w:rsidR="00B244EE" w:rsidRDefault="00B244EE">
      <w:pPr>
        <w:rPr>
          <w:lang w:val="de-DE"/>
        </w:rPr>
      </w:pPr>
      <w:r>
        <w:rPr>
          <w:lang w:val="de-DE"/>
        </w:rPr>
        <w:t xml:space="preserve">„In der Reife des </w:t>
      </w:r>
      <w:proofErr w:type="spellStart"/>
      <w:r>
        <w:rPr>
          <w:lang w:val="de-DE"/>
        </w:rPr>
        <w:t>Bewußtseins</w:t>
      </w:r>
      <w:proofErr w:type="spellEnd"/>
      <w:r>
        <w:rPr>
          <w:lang w:val="de-DE"/>
        </w:rPr>
        <w:t xml:space="preserve"> des </w:t>
      </w:r>
      <w:proofErr w:type="spellStart"/>
      <w:r>
        <w:rPr>
          <w:lang w:val="de-DE"/>
        </w:rPr>
        <w:t>Seinsverlustes</w:t>
      </w:r>
      <w:proofErr w:type="spellEnd"/>
      <w:r>
        <w:rPr>
          <w:lang w:val="de-DE"/>
        </w:rPr>
        <w:t xml:space="preserve"> wird das fragende Hinstreben nach einer Begegnung mit dem Sein zur Metaphysik dadurch, </w:t>
      </w:r>
      <w:proofErr w:type="spellStart"/>
      <w:r>
        <w:rPr>
          <w:lang w:val="de-DE"/>
        </w:rPr>
        <w:t>daß</w:t>
      </w:r>
      <w:proofErr w:type="spellEnd"/>
      <w:r>
        <w:rPr>
          <w:lang w:val="de-DE"/>
        </w:rPr>
        <w:t xml:space="preserve"> es seine Grundrichtung mit zwei als zusammengehörig erkannten Fragen festlegt: der Frage nach dem Guten und der Frage nach dem Sein. Die erste dieser beiden Fragen, die sokratische Frage, zielt zunächst auf das Menschlich-Gute. Sie wird gefragt aus der Situation des </w:t>
      </w:r>
      <w:proofErr w:type="spellStart"/>
      <w:r>
        <w:rPr>
          <w:lang w:val="de-DE"/>
        </w:rPr>
        <w:t>Seinsverlustes</w:t>
      </w:r>
      <w:proofErr w:type="spellEnd"/>
      <w:r>
        <w:rPr>
          <w:lang w:val="de-DE"/>
        </w:rPr>
        <w:t>, in der sich [5] der einzelne richtungslos der Welt des Seienden gegenüber findet. Diese sokratische Frage, die Frage nach dem Menschlich-Guten, gestaltet sich um zur platonischen Frage nach dem von den Guten schlechthin abhängenden (d.h. sinnvollen) Sein. Nur dann, so wird jetzt deutlich, kann die sokratische Frage beantwortet werden, wenn die aus der Welt des Seienden herausg</w:t>
      </w:r>
      <w:r w:rsidR="00E663EF">
        <w:rPr>
          <w:lang w:val="de-DE"/>
        </w:rPr>
        <w:t>e</w:t>
      </w:r>
      <w:r>
        <w:rPr>
          <w:lang w:val="de-DE"/>
        </w:rPr>
        <w:t xml:space="preserve">stellte Person sich innerhalb dieser vom Guten her </w:t>
      </w:r>
      <w:proofErr w:type="spellStart"/>
      <w:r>
        <w:rPr>
          <w:lang w:val="de-DE"/>
        </w:rPr>
        <w:t>rekronstruierten</w:t>
      </w:r>
      <w:proofErr w:type="spellEnd"/>
      <w:r>
        <w:rPr>
          <w:lang w:val="de-DE"/>
        </w:rPr>
        <w:t xml:space="preserve"> </w:t>
      </w:r>
      <w:proofErr w:type="spellStart"/>
      <w:r>
        <w:rPr>
          <w:lang w:val="de-DE"/>
        </w:rPr>
        <w:t>Seinswelt</w:t>
      </w:r>
      <w:proofErr w:type="spellEnd"/>
      <w:r>
        <w:rPr>
          <w:lang w:val="de-DE"/>
        </w:rPr>
        <w:t xml:space="preserve"> wiederfindet.</w:t>
      </w:r>
      <w:r w:rsidR="00E663EF">
        <w:rPr>
          <w:lang w:val="de-DE"/>
        </w:rPr>
        <w:t>“ (4-5)</w:t>
      </w:r>
    </w:p>
    <w:p w14:paraId="0AD73A93" w14:textId="77777777" w:rsidR="00FE44B1" w:rsidRDefault="00FE44B1">
      <w:pPr>
        <w:rPr>
          <w:lang w:val="de-DE"/>
        </w:rPr>
      </w:pPr>
      <w:r>
        <w:rPr>
          <w:lang w:val="de-DE"/>
        </w:rPr>
        <w:t>„Im Positivismus, der herrschenden Denkweise der neueren Zeit, ist die metaphysische Bemühung um das Sein preisgegeben. Das Denken soll sich an das einzelne Seiende halten, das wissenschaftlich bearbeitet werden, aber in dem das Sein nicht mitbegegnen kann. […] Der Existenzphilosophie kommt das Verdienst zu, den Pos</w:t>
      </w:r>
      <w:r w:rsidR="008D36A7">
        <w:rPr>
          <w:lang w:val="de-DE"/>
        </w:rPr>
        <w:t>i</w:t>
      </w:r>
      <w:r>
        <w:rPr>
          <w:lang w:val="de-DE"/>
        </w:rPr>
        <w:t xml:space="preserve">tivismus durchschaut und die mit ihm gesetzte Denksituation durchlitten und durchdacht zu haben. Sie hat uns begreifen gelehrt, </w:t>
      </w:r>
      <w:proofErr w:type="spellStart"/>
      <w:r>
        <w:rPr>
          <w:lang w:val="de-DE"/>
        </w:rPr>
        <w:t>daß</w:t>
      </w:r>
      <w:proofErr w:type="spellEnd"/>
      <w:r>
        <w:rPr>
          <w:lang w:val="de-DE"/>
        </w:rPr>
        <w:t xml:space="preserve"> die Begegnung mit den vielerlei Seienden in seiner nackten, sinnentleerten </w:t>
      </w:r>
      <w:proofErr w:type="spellStart"/>
      <w:r>
        <w:rPr>
          <w:lang w:val="de-DE"/>
        </w:rPr>
        <w:t>Existentialität</w:t>
      </w:r>
      <w:proofErr w:type="spellEnd"/>
      <w:r>
        <w:rPr>
          <w:lang w:val="de-DE"/>
        </w:rPr>
        <w:t xml:space="preserve"> tatsächlich eine Begegnung mit dem Nichts ist, und sie hat im Zuge dieser Entdeckung ein erschreckend scharfes Schlaglicht auf die Freiheit der </w:t>
      </w:r>
      <w:proofErr w:type="spellStart"/>
      <w:r>
        <w:rPr>
          <w:lang w:val="de-DE"/>
        </w:rPr>
        <w:t>entheimateten</w:t>
      </w:r>
      <w:proofErr w:type="spellEnd"/>
      <w:r>
        <w:rPr>
          <w:lang w:val="de-DE"/>
        </w:rPr>
        <w:t xml:space="preserve"> Person geworfen.“ (5) </w:t>
      </w:r>
    </w:p>
    <w:p w14:paraId="7DEEC768" w14:textId="77777777" w:rsidR="00FE44B1" w:rsidRDefault="00FE44B1">
      <w:pPr>
        <w:rPr>
          <w:lang w:val="de-DE"/>
        </w:rPr>
      </w:pPr>
      <w:r>
        <w:rPr>
          <w:lang w:val="de-DE"/>
        </w:rPr>
        <w:t>„sinnfreie Faktizität, an die sich der Positivismus klammert.“ (6)</w:t>
      </w:r>
    </w:p>
    <w:p w14:paraId="4C64CEDA" w14:textId="77777777" w:rsidR="00AD2F4B" w:rsidRDefault="00AD2F4B">
      <w:pPr>
        <w:rPr>
          <w:lang w:val="de-DE"/>
        </w:rPr>
      </w:pPr>
      <w:r>
        <w:rPr>
          <w:lang w:val="de-DE"/>
        </w:rPr>
        <w:t xml:space="preserve">„Er beginnt mit einer Bejahung: trotz aller scheinbaren Wirrheit ringsum – die Ordnung </w:t>
      </w:r>
      <w:r w:rsidRPr="00AD2F4B">
        <w:rPr>
          <w:i/>
          <w:lang w:val="de-DE"/>
        </w:rPr>
        <w:t>ist</w:t>
      </w:r>
      <w:r>
        <w:rPr>
          <w:lang w:val="de-DE"/>
        </w:rPr>
        <w:t xml:space="preserve">, die Vierung </w:t>
      </w:r>
      <w:r w:rsidRPr="00AD2F4B">
        <w:rPr>
          <w:i/>
          <w:lang w:val="de-DE"/>
        </w:rPr>
        <w:t>existiert</w:t>
      </w:r>
      <w:r>
        <w:rPr>
          <w:lang w:val="de-DE"/>
        </w:rPr>
        <w:t xml:space="preserve">, der Auftrag </w:t>
      </w:r>
      <w:r w:rsidRPr="00AD2F4B">
        <w:rPr>
          <w:i/>
          <w:lang w:val="de-DE"/>
        </w:rPr>
        <w:t>gilt</w:t>
      </w:r>
      <w:r>
        <w:rPr>
          <w:lang w:val="de-DE"/>
        </w:rPr>
        <w:t>. Durch die Bejahung ermutigt, entdeckt das Auge kaum wahrnehmbare Anzeichen der Richtung.“ (7)</w:t>
      </w:r>
    </w:p>
    <w:p w14:paraId="52605497" w14:textId="77777777" w:rsidR="00056B84" w:rsidRDefault="00056B84">
      <w:pPr>
        <w:rPr>
          <w:lang w:val="de-DE"/>
        </w:rPr>
      </w:pPr>
      <w:r>
        <w:rPr>
          <w:lang w:val="de-DE"/>
        </w:rPr>
        <w:lastRenderedPageBreak/>
        <w:t xml:space="preserve">„Gewissen </w:t>
      </w:r>
      <w:r w:rsidR="00176728">
        <w:rPr>
          <w:lang w:val="de-DE"/>
        </w:rPr>
        <w:t xml:space="preserve">haben </w:t>
      </w:r>
      <w:r>
        <w:rPr>
          <w:lang w:val="de-DE"/>
        </w:rPr>
        <w:t>heißt</w:t>
      </w:r>
      <w:r w:rsidR="00176728">
        <w:rPr>
          <w:lang w:val="de-DE"/>
        </w:rPr>
        <w:t xml:space="preserve">: ein mitwissendes </w:t>
      </w:r>
      <w:proofErr w:type="spellStart"/>
      <w:r w:rsidR="00176728">
        <w:rPr>
          <w:lang w:val="de-DE"/>
        </w:rPr>
        <w:t>Bewußtsein</w:t>
      </w:r>
      <w:proofErr w:type="spellEnd"/>
      <w:r w:rsidR="00176728">
        <w:rPr>
          <w:lang w:val="de-DE"/>
        </w:rPr>
        <w:t xml:space="preserve"> in sich tragen. […] Mitwissen bedeutet hier eine peinliche, ja entsetzliche Mitwisserschaft. Ein Zeuge ist gegenwärtig auch und gerade dann, wenn wir Zeugen am wenigsten brauchen können.“ (10) </w:t>
      </w:r>
    </w:p>
    <w:p w14:paraId="549A0510" w14:textId="77777777" w:rsidR="00176728" w:rsidRDefault="00176728">
      <w:pPr>
        <w:rPr>
          <w:lang w:val="de-DE"/>
        </w:rPr>
      </w:pPr>
      <w:r>
        <w:rPr>
          <w:lang w:val="de-DE"/>
        </w:rPr>
        <w:t xml:space="preserve">„Die Schuld ist einer der Wege zur Entdeckung der Innerlichkeit, und die Geschichte des Gewissensbegriffes ist der Index dieser Entwicklung.“ (11) </w:t>
      </w:r>
    </w:p>
    <w:p w14:paraId="33C11958" w14:textId="77777777" w:rsidR="00FE44B1" w:rsidRDefault="00FE44B1">
      <w:pPr>
        <w:rPr>
          <w:lang w:val="de-DE"/>
        </w:rPr>
      </w:pPr>
      <w:r>
        <w:rPr>
          <w:lang w:val="de-DE"/>
        </w:rPr>
        <w:t>„</w:t>
      </w:r>
      <w:r w:rsidR="00176728">
        <w:rPr>
          <w:lang w:val="de-DE"/>
        </w:rPr>
        <w:t xml:space="preserve">Das Gewissen ist in mir, in meiner Tiefe, und dennoch bin ich nicht mein Gewissen. […] </w:t>
      </w:r>
      <w:r w:rsidR="001A154F">
        <w:rPr>
          <w:lang w:val="de-DE"/>
        </w:rPr>
        <w:t>In der Stimme [des Gewissens; F.E.]</w:t>
      </w:r>
      <w:r w:rsidR="00AC72C2">
        <w:rPr>
          <w:lang w:val="de-DE"/>
        </w:rPr>
        <w:t xml:space="preserve"> </w:t>
      </w:r>
      <w:r w:rsidR="001A154F">
        <w:rPr>
          <w:lang w:val="de-DE"/>
        </w:rPr>
        <w:t xml:space="preserve">spricht nicht das ‘ich selbst‘, sondern es wird angesprochen. Die sich mit Gewalt Gehör verschaffende Stimme kommt wie von außen. Hier ist der Ansatzpunkt – freilich nicht mehr als dies – für eine transzendente, d.i. theologische Auslegung des Gewissens.“ (12) </w:t>
      </w:r>
    </w:p>
    <w:p w14:paraId="11F61957" w14:textId="77777777" w:rsidR="00176728" w:rsidRDefault="00176728">
      <w:pPr>
        <w:rPr>
          <w:lang w:val="de-DE"/>
        </w:rPr>
      </w:pPr>
      <w:r>
        <w:rPr>
          <w:lang w:val="de-DE"/>
        </w:rPr>
        <w:t xml:space="preserve">„Das </w:t>
      </w:r>
      <w:proofErr w:type="spellStart"/>
      <w:r>
        <w:rPr>
          <w:lang w:val="de-DE"/>
        </w:rPr>
        <w:t>Gewissensbewußtsein</w:t>
      </w:r>
      <w:proofErr w:type="spellEnd"/>
      <w:r>
        <w:rPr>
          <w:lang w:val="de-DE"/>
        </w:rPr>
        <w:t xml:space="preserve"> als eine Grundform menschlichen Selbstverständnisses </w:t>
      </w:r>
      <w:r w:rsidR="00E00440">
        <w:rPr>
          <w:lang w:val="de-DE"/>
        </w:rPr>
        <w:t xml:space="preserve">ist die schmerzliche Erfahrung des Versagens und der Verschuldung.“ (17) </w:t>
      </w:r>
    </w:p>
    <w:p w14:paraId="2936E650" w14:textId="77777777" w:rsidR="00E00440" w:rsidRDefault="00E00440">
      <w:pPr>
        <w:rPr>
          <w:lang w:val="de-DE"/>
        </w:rPr>
      </w:pPr>
      <w:r>
        <w:rPr>
          <w:lang w:val="de-DE"/>
        </w:rPr>
        <w:t xml:space="preserve">„Die sich selbst aufhebende Bejahung des Bösen (eben das, was wir in religiöser Sprache Hölle nennen) ist der Ort, an dem das Gewissen nicht mehr als Anruf gehört, sondern nur noch als unstillbare Qual erlitten wird.“ (19) </w:t>
      </w:r>
    </w:p>
    <w:p w14:paraId="3A2E5E62" w14:textId="77777777" w:rsidR="00E00440" w:rsidRDefault="00E00440">
      <w:pPr>
        <w:rPr>
          <w:lang w:val="de-DE"/>
        </w:rPr>
      </w:pPr>
      <w:r>
        <w:rPr>
          <w:lang w:val="de-DE"/>
        </w:rPr>
        <w:t xml:space="preserve">„Diese Normen werden als Glieder einer die ganze Menschenwelt umfassenden und tragenden Ordnung vorgestellt – als ein Gesetz der Wirklichkeit, das ‚dem Herzen eingeschrieben ist‘, das also auch von dem </w:t>
      </w:r>
      <w:proofErr w:type="spellStart"/>
      <w:r>
        <w:rPr>
          <w:lang w:val="de-DE"/>
        </w:rPr>
        <w:t>gewußt</w:t>
      </w:r>
      <w:proofErr w:type="spellEnd"/>
      <w:r>
        <w:rPr>
          <w:lang w:val="de-DE"/>
        </w:rPr>
        <w:t xml:space="preserve"> werden kann, der von einer </w:t>
      </w:r>
      <w:proofErr w:type="spellStart"/>
      <w:r>
        <w:rPr>
          <w:lang w:val="de-DE"/>
        </w:rPr>
        <w:t>schriftmäßi</w:t>
      </w:r>
      <w:proofErr w:type="spellEnd"/>
      <w:r>
        <w:rPr>
          <w:lang w:val="de-DE"/>
        </w:rPr>
        <w:t>-[22]gen Offenbarung dieser Wahrheiten nichts weiß. Das Gewissen verhält sich zu ihnen als das vermittelnde Organ der Wahrnehmung.“ (</w:t>
      </w:r>
      <w:r w:rsidR="008556A0">
        <w:rPr>
          <w:lang w:val="de-DE"/>
        </w:rPr>
        <w:t>21-22)</w:t>
      </w:r>
    </w:p>
    <w:p w14:paraId="1FE7AED8" w14:textId="77777777" w:rsidR="007C0398" w:rsidRDefault="007C0398">
      <w:pPr>
        <w:rPr>
          <w:lang w:val="de-DE"/>
        </w:rPr>
      </w:pPr>
      <w:r>
        <w:rPr>
          <w:lang w:val="de-DE"/>
        </w:rPr>
        <w:t xml:space="preserve">„Diese wie jegliche Norm hat ihren Bestand nur in einer Gesamtordnung, die ihrerseits nicht einfach in unleugbarer Gegebenheit da ist, sondern die erkannt und anerkannt werden will.“ (22) </w:t>
      </w:r>
    </w:p>
    <w:p w14:paraId="162B54C3" w14:textId="77777777" w:rsidR="00136BCD" w:rsidRDefault="00136BCD">
      <w:pPr>
        <w:rPr>
          <w:lang w:val="de-DE"/>
        </w:rPr>
      </w:pPr>
      <w:r>
        <w:rPr>
          <w:lang w:val="de-DE"/>
        </w:rPr>
        <w:t>„Das Gewissen als ein vermittelndes Organ setzt die konkrete Situation, in der sich die Handlung in ihrer konkreten Eigentümlichkeit bestimmt, in Beziehung zu der Norm, Bestandteil einer universalen Ordnung.“ (23)</w:t>
      </w:r>
    </w:p>
    <w:p w14:paraId="175F6A79" w14:textId="77777777" w:rsidR="00136BCD" w:rsidRDefault="00136BCD">
      <w:pPr>
        <w:rPr>
          <w:lang w:val="de-DE"/>
        </w:rPr>
      </w:pPr>
      <w:r>
        <w:rPr>
          <w:lang w:val="de-DE"/>
        </w:rPr>
        <w:t xml:space="preserve">„Um den modernen europäisierten </w:t>
      </w:r>
      <w:proofErr w:type="spellStart"/>
      <w:r>
        <w:rPr>
          <w:lang w:val="de-DE"/>
        </w:rPr>
        <w:t>Trofim</w:t>
      </w:r>
      <w:proofErr w:type="spellEnd"/>
      <w:r>
        <w:rPr>
          <w:lang w:val="de-DE"/>
        </w:rPr>
        <w:t xml:space="preserve"> zu überzeugen, </w:t>
      </w:r>
      <w:proofErr w:type="spellStart"/>
      <w:r>
        <w:rPr>
          <w:lang w:val="de-DE"/>
        </w:rPr>
        <w:t>muß</w:t>
      </w:r>
      <w:proofErr w:type="spellEnd"/>
      <w:r>
        <w:rPr>
          <w:lang w:val="de-DE"/>
        </w:rPr>
        <w:t xml:space="preserve"> die abschirmende Ideologie verfeinerten Ansprüchen genügen. Sie </w:t>
      </w:r>
      <w:proofErr w:type="spellStart"/>
      <w:r>
        <w:rPr>
          <w:lang w:val="de-DE"/>
        </w:rPr>
        <w:t>muß</w:t>
      </w:r>
      <w:proofErr w:type="spellEnd"/>
      <w:r>
        <w:rPr>
          <w:lang w:val="de-DE"/>
        </w:rPr>
        <w:t xml:space="preserve"> sich als ‚Abenteuer des Geistes‘ und als Befreiungstat </w:t>
      </w:r>
      <w:proofErr w:type="gramStart"/>
      <w:r>
        <w:rPr>
          <w:lang w:val="de-DE"/>
        </w:rPr>
        <w:t>mit heroische Glanz</w:t>
      </w:r>
      <w:proofErr w:type="gramEnd"/>
      <w:r>
        <w:rPr>
          <w:lang w:val="de-DE"/>
        </w:rPr>
        <w:t xml:space="preserve"> umkleiden und die Tugenden der ‚absoluten Unerschrockenheit‘ und der ‚absoluten Aufrichtigkeit‘ zur Schau tragen.“ (23)</w:t>
      </w:r>
    </w:p>
    <w:p w14:paraId="42846F2F" w14:textId="77777777" w:rsidR="00136BCD" w:rsidRDefault="00136BCD">
      <w:pPr>
        <w:rPr>
          <w:lang w:val="de-DE"/>
        </w:rPr>
      </w:pPr>
      <w:r>
        <w:rPr>
          <w:lang w:val="de-DE"/>
        </w:rPr>
        <w:t xml:space="preserve">„Die Gefahr des metaphysischen Gedankens, vor der uns der Königsberger Menschenfreund zu schützen gedachte, </w:t>
      </w:r>
      <w:proofErr w:type="spellStart"/>
      <w:r>
        <w:rPr>
          <w:lang w:val="de-DE"/>
        </w:rPr>
        <w:t>muß</w:t>
      </w:r>
      <w:proofErr w:type="spellEnd"/>
      <w:r>
        <w:rPr>
          <w:lang w:val="de-DE"/>
        </w:rPr>
        <w:t xml:space="preserve"> ausgestanden werden. </w:t>
      </w:r>
      <w:r w:rsidR="000667AB">
        <w:rPr>
          <w:lang w:val="de-DE"/>
        </w:rPr>
        <w:t>Dennoch vertritt seine Ethik ein echtes Anliegen.“ (25)</w:t>
      </w:r>
    </w:p>
    <w:p w14:paraId="6DAA45FF" w14:textId="77777777" w:rsidR="00AD2A56" w:rsidRDefault="00AD2A56">
      <w:pPr>
        <w:rPr>
          <w:lang w:val="de-DE"/>
        </w:rPr>
      </w:pPr>
      <w:r>
        <w:rPr>
          <w:lang w:val="de-DE"/>
        </w:rPr>
        <w:t xml:space="preserve">„Das Gewissen stellt einen metaphysischen Sachverhalt dar in dem Sinn, </w:t>
      </w:r>
      <w:proofErr w:type="spellStart"/>
      <w:r>
        <w:rPr>
          <w:lang w:val="de-DE"/>
        </w:rPr>
        <w:t>daß</w:t>
      </w:r>
      <w:proofErr w:type="spellEnd"/>
      <w:r>
        <w:rPr>
          <w:lang w:val="de-DE"/>
        </w:rPr>
        <w:t xml:space="preserve"> Gewissen</w:t>
      </w:r>
      <w:r w:rsidR="00585AE7">
        <w:rPr>
          <w:lang w:val="de-DE"/>
        </w:rPr>
        <w:t>-haben wesentlich zum Mensch-sein gehört.“ (30)</w:t>
      </w:r>
    </w:p>
    <w:p w14:paraId="384C455E" w14:textId="691459BF" w:rsidR="00FE36DF" w:rsidRDefault="00FE36DF">
      <w:pPr>
        <w:rPr>
          <w:lang w:val="de-DE"/>
        </w:rPr>
      </w:pPr>
      <w:r>
        <w:rPr>
          <w:lang w:val="de-DE"/>
        </w:rPr>
        <w:t xml:space="preserve">„Aber die Entscheidung zur [42] Reue als solche fordert eine große Entschlossenheit. Denn in jedem Fall </w:t>
      </w:r>
      <w:proofErr w:type="spellStart"/>
      <w:r>
        <w:rPr>
          <w:lang w:val="de-DE"/>
        </w:rPr>
        <w:t>muß</w:t>
      </w:r>
      <w:proofErr w:type="spellEnd"/>
      <w:r>
        <w:rPr>
          <w:lang w:val="de-DE"/>
        </w:rPr>
        <w:t xml:space="preserve"> mit der Austilgung der Tat die Existenz, die sie hervorgebracht hat, aus den Angeln gehoben werden.“ (42) </w:t>
      </w:r>
    </w:p>
    <w:p w14:paraId="4CC3EBE6" w14:textId="3EB4BED5" w:rsidR="004A3A05" w:rsidRDefault="004A3A05">
      <w:pPr>
        <w:rPr>
          <w:lang w:val="de-DE"/>
        </w:rPr>
      </w:pPr>
      <w:r>
        <w:rPr>
          <w:lang w:val="de-DE"/>
        </w:rPr>
        <w:t xml:space="preserve">„Wahl ist Selbstwahl. Im Gegensatz zu der Vorzugswahl ist diese Wahl trans-intellektuell, </w:t>
      </w:r>
      <w:proofErr w:type="spellStart"/>
      <w:r>
        <w:rPr>
          <w:lang w:val="de-DE"/>
        </w:rPr>
        <w:t>läßt</w:t>
      </w:r>
      <w:proofErr w:type="spellEnd"/>
      <w:r>
        <w:rPr>
          <w:lang w:val="de-DE"/>
        </w:rPr>
        <w:t xml:space="preserve"> sich also nicht in einem praktischen Syllogismus ausdrücken. Sie ist nicht, aristotelisch gesprochen, mit vernünftiger Überlegung verbunden […], sondern es kommt bei ihr, nach Kierkegaard, letztlich ‚nicht auf Überlegung‘ an, sondern auf den Willen.“ (43) </w:t>
      </w:r>
    </w:p>
    <w:p w14:paraId="3709B933" w14:textId="6AAA641C" w:rsidR="004A3A05" w:rsidRDefault="004A3A05">
      <w:pPr>
        <w:rPr>
          <w:lang w:val="de-DE"/>
        </w:rPr>
      </w:pPr>
      <w:r>
        <w:rPr>
          <w:lang w:val="de-DE"/>
        </w:rPr>
        <w:t xml:space="preserve">„Wenn wir also nicht frei sind, den Ruf des Gewissens nicht zu hören, so sind wir doch frei, uns ihm zu unterwerfen oder uns dagegen aufzulehnen. Darin besteht also die verborgene </w:t>
      </w:r>
      <w:r>
        <w:rPr>
          <w:lang w:val="de-DE"/>
        </w:rPr>
        <w:lastRenderedPageBreak/>
        <w:t xml:space="preserve">Entscheidung im Grunde des Gewissensgeschehens, darin die </w:t>
      </w:r>
      <w:r w:rsidRPr="004A3A05">
        <w:rPr>
          <w:i/>
          <w:lang w:val="de-DE"/>
        </w:rPr>
        <w:t>Große Wahl</w:t>
      </w:r>
      <w:r>
        <w:rPr>
          <w:lang w:val="de-DE"/>
        </w:rPr>
        <w:t xml:space="preserve">, von der der jüdische Mystiker sagt: ‚Die Welt ist allein </w:t>
      </w:r>
      <w:proofErr w:type="gramStart"/>
      <w:r>
        <w:rPr>
          <w:lang w:val="de-DE"/>
        </w:rPr>
        <w:t>um der Wahl</w:t>
      </w:r>
      <w:proofErr w:type="gramEnd"/>
      <w:r>
        <w:rPr>
          <w:lang w:val="de-DE"/>
        </w:rPr>
        <w:t xml:space="preserve"> willen geschaffen worden und um willen dessen, der wählt.‘“ (45) </w:t>
      </w:r>
    </w:p>
    <w:p w14:paraId="25CF6F13" w14:textId="1CD0DE80" w:rsidR="004A3A05" w:rsidRDefault="004A3A05">
      <w:pPr>
        <w:rPr>
          <w:lang w:val="de-DE"/>
        </w:rPr>
      </w:pPr>
      <w:r>
        <w:rPr>
          <w:lang w:val="de-DE"/>
        </w:rPr>
        <w:t xml:space="preserve">„Also hat der Akt der Wahl, die Affirmation des Anspruchs der Stimme, eine weit über das Moralische hinausreichende Bedeutung. Mit ihm bringen wir uns nicht </w:t>
      </w:r>
      <w:r w:rsidRPr="004A3A05">
        <w:rPr>
          <w:i/>
          <w:lang w:val="de-DE"/>
        </w:rPr>
        <w:t>vor</w:t>
      </w:r>
      <w:r>
        <w:rPr>
          <w:lang w:val="de-DE"/>
        </w:rPr>
        <w:t xml:space="preserve">, sondern </w:t>
      </w:r>
      <w:r w:rsidRPr="004A3A05">
        <w:rPr>
          <w:i/>
          <w:lang w:val="de-DE"/>
        </w:rPr>
        <w:t>in</w:t>
      </w:r>
      <w:r>
        <w:rPr>
          <w:lang w:val="de-DE"/>
        </w:rPr>
        <w:t xml:space="preserve"> das Sein</w:t>
      </w:r>
      <w:r w:rsidR="00FA214F">
        <w:rPr>
          <w:lang w:val="de-DE"/>
        </w:rPr>
        <w:t xml:space="preserve">, dessen Ordnung, soweit sie das menschliche Handeln angeht, sich im Gewissen offenbart. Wunderbar genug: der Ausblick auf diese Ordnung und die Vergewisserung ihrer unumgänglichen Realität wird uns durch ihre von uns selbst verschuldete Störung zuteil. Wegen der totalen, das Verhältnis des Menschen zum Sein überhaupt betreffenden Bedeutung des Aktes sprechen wir auch, statt von Affirmation schlechthin, von </w:t>
      </w:r>
      <w:r w:rsidR="00FA214F" w:rsidRPr="00FA214F">
        <w:rPr>
          <w:i/>
          <w:lang w:val="de-DE"/>
        </w:rPr>
        <w:t>Ontologischer Affirmation</w:t>
      </w:r>
      <w:r w:rsidR="00FA214F">
        <w:rPr>
          <w:lang w:val="de-DE"/>
        </w:rPr>
        <w:t>.“ (46)</w:t>
      </w:r>
    </w:p>
    <w:p w14:paraId="13F499A9" w14:textId="44E86394" w:rsidR="00FA214F" w:rsidRDefault="00FA214F">
      <w:pPr>
        <w:rPr>
          <w:lang w:val="de-DE"/>
        </w:rPr>
      </w:pPr>
      <w:r>
        <w:rPr>
          <w:lang w:val="de-DE"/>
        </w:rPr>
        <w:t>„Die als Erkenntnisgrundlage betrachtete Ontologische Affirmation ist nicht einer affirmativen Ontologie gleichzusetzen, deren Prinzip lautet: alles Seiende, als Seiendes, ist gut (</w:t>
      </w:r>
      <w:proofErr w:type="spellStart"/>
      <w:r w:rsidRPr="00FA214F">
        <w:rPr>
          <w:i/>
          <w:lang w:val="de-DE"/>
        </w:rPr>
        <w:t>omne</w:t>
      </w:r>
      <w:proofErr w:type="spellEnd"/>
      <w:r w:rsidRPr="00FA214F">
        <w:rPr>
          <w:i/>
          <w:lang w:val="de-DE"/>
        </w:rPr>
        <w:t xml:space="preserve"> </w:t>
      </w:r>
      <w:proofErr w:type="spellStart"/>
      <w:r w:rsidRPr="00FA214F">
        <w:rPr>
          <w:i/>
          <w:lang w:val="de-DE"/>
        </w:rPr>
        <w:t>ens</w:t>
      </w:r>
      <w:proofErr w:type="spellEnd"/>
      <w:r w:rsidRPr="00FA214F">
        <w:rPr>
          <w:i/>
          <w:lang w:val="de-DE"/>
        </w:rPr>
        <w:t xml:space="preserve"> qua </w:t>
      </w:r>
      <w:proofErr w:type="spellStart"/>
      <w:r w:rsidRPr="00FA214F">
        <w:rPr>
          <w:i/>
          <w:lang w:val="de-DE"/>
        </w:rPr>
        <w:t>ens</w:t>
      </w:r>
      <w:proofErr w:type="spellEnd"/>
      <w:r w:rsidRPr="00FA214F">
        <w:rPr>
          <w:i/>
          <w:lang w:val="de-DE"/>
        </w:rPr>
        <w:t xml:space="preserve"> </w:t>
      </w:r>
      <w:proofErr w:type="spellStart"/>
      <w:r w:rsidRPr="00FA214F">
        <w:rPr>
          <w:i/>
          <w:lang w:val="de-DE"/>
        </w:rPr>
        <w:t>bonum</w:t>
      </w:r>
      <w:proofErr w:type="spellEnd"/>
      <w:r>
        <w:rPr>
          <w:lang w:val="de-DE"/>
        </w:rPr>
        <w:t>). Wohl aber liefert sie, und sie allein, die Grundlage für eine solche Seinslehre, die ohne diese Grundlage zu einem schönen und anmaßenden Traum zu werden droht.“ (46)</w:t>
      </w:r>
    </w:p>
    <w:p w14:paraId="2240F2B1" w14:textId="61F06C40" w:rsidR="00FA214F" w:rsidRDefault="00FA214F">
      <w:pPr>
        <w:rPr>
          <w:lang w:val="de-DE"/>
        </w:rPr>
      </w:pPr>
      <w:r>
        <w:rPr>
          <w:lang w:val="de-DE"/>
        </w:rPr>
        <w:t>„Grundlegend ist die Ontologische Affirmation auch für das Handeln: sie ist Zuwendung zu dem Sein im selbst gegründeten Um-willen alles Tuns. […] Ist doch der Sinn der Ontologischen Affirmation vorgezeichnet in der Liebe als der Bejahung des Mitmenschen.“ (47)</w:t>
      </w:r>
    </w:p>
    <w:p w14:paraId="5F75B1E2" w14:textId="6835C63E" w:rsidR="00FA214F" w:rsidRDefault="00FA214F">
      <w:pPr>
        <w:rPr>
          <w:lang w:val="de-DE"/>
        </w:rPr>
      </w:pPr>
      <w:r>
        <w:rPr>
          <w:lang w:val="de-DE"/>
        </w:rPr>
        <w:t xml:space="preserve">„Die Ontologische Affirmation ist ein Ausdruck der Spontaneität. Ja, sie bezeichnet recht eigentlich die Stelle, an der die Freiheit in das Drama des Gewissens eingreift. Ist sie doch nicht ein Element des Rufes, der das Selbst zwar nicht von außen aber wie von außen trifft, sondern die Antwort des Selbst auf diesen Ruf. Dennoch ist diese Spontaneität (man würde vielleicht besser von aktualisierter </w:t>
      </w:r>
      <w:proofErr w:type="spellStart"/>
      <w:r w:rsidRPr="009C4DCE">
        <w:rPr>
          <w:i/>
          <w:lang w:val="de-DE"/>
        </w:rPr>
        <w:t>aseitas</w:t>
      </w:r>
      <w:proofErr w:type="spellEnd"/>
      <w:r>
        <w:rPr>
          <w:lang w:val="de-DE"/>
        </w:rPr>
        <w:t xml:space="preserve"> sprechen) zugleich Passivität – ein Sich-öffnen in Hingabe an eine das Individuum tragende Wirklichkeit und damit Offenbarung der spezifisch menschlichen, d.i. leidenden Freiheit, die Freiheit eines in seinem Wesenskern endlichen und nicht erst durch</w:t>
      </w:r>
      <w:r w:rsidR="009C4DCE">
        <w:rPr>
          <w:lang w:val="de-DE"/>
        </w:rPr>
        <w:t xml:space="preserve"> die aus seiner Leiblichkeit stammende Sinnlichkeit </w:t>
      </w:r>
      <w:proofErr w:type="spellStart"/>
      <w:r w:rsidR="009C4DCE">
        <w:rPr>
          <w:lang w:val="de-DE"/>
        </w:rPr>
        <w:t>verendlichtes</w:t>
      </w:r>
      <w:proofErr w:type="spellEnd"/>
      <w:r w:rsidR="009C4DCE">
        <w:rPr>
          <w:lang w:val="de-DE"/>
        </w:rPr>
        <w:t xml:space="preserve"> Wesen.“ (47)</w:t>
      </w:r>
    </w:p>
    <w:p w14:paraId="72031DD3" w14:textId="2A26F6AE" w:rsidR="009C4DCE" w:rsidRDefault="009C4DCE">
      <w:pPr>
        <w:rPr>
          <w:lang w:val="de-DE"/>
        </w:rPr>
      </w:pPr>
      <w:r>
        <w:rPr>
          <w:lang w:val="de-DE"/>
        </w:rPr>
        <w:t xml:space="preserve">„Der Existentialismus nimmt die Weisheit des ‚Stirb und werde!‘ für sich in Anspruch. Aber zugleich verfälscht er den Begriff der heilsamen Krisis. Der echte Katalysator der </w:t>
      </w:r>
      <w:proofErr w:type="spellStart"/>
      <w:r>
        <w:rPr>
          <w:lang w:val="de-DE"/>
        </w:rPr>
        <w:t>Umbesinnung</w:t>
      </w:r>
      <w:proofErr w:type="spellEnd"/>
      <w:r>
        <w:rPr>
          <w:lang w:val="de-DE"/>
        </w:rPr>
        <w:t xml:space="preserve"> ist die Gewissensnot, die, in ihrem Sinn bejaht, zur Reue wird. Allerdings zieht dieser </w:t>
      </w:r>
      <w:proofErr w:type="spellStart"/>
      <w:r>
        <w:rPr>
          <w:lang w:val="de-DE"/>
        </w:rPr>
        <w:t>Prozeß</w:t>
      </w:r>
      <w:proofErr w:type="spellEnd"/>
      <w:r>
        <w:rPr>
          <w:lang w:val="de-DE"/>
        </w:rPr>
        <w:t xml:space="preserve"> auf Selbstverneinung, aber im Namen einer fundamentalen Bejahung.“ (50) </w:t>
      </w:r>
    </w:p>
    <w:p w14:paraId="33D22AC2" w14:textId="2279B263" w:rsidR="009C4DCE" w:rsidRDefault="009C4DCE">
      <w:pPr>
        <w:rPr>
          <w:lang w:val="de-DE"/>
        </w:rPr>
      </w:pPr>
      <w:r>
        <w:rPr>
          <w:lang w:val="de-DE"/>
        </w:rPr>
        <w:t xml:space="preserve">„Der Vorgang ist von mir gewirkt, sofern ich ihm zustimme, und doch auch nicht von mir gewirkt, sofern ich ihn als ‚Gnade‘ erleide. Und auch dies Moment der Passivität tritt nicht als ein Novum auf, sondern ist im Wesen der Ontologischen Affirmation vorgebildet. Platon hat das hier vorliegende Verhältnis von </w:t>
      </w:r>
      <w:proofErr w:type="spellStart"/>
      <w:r w:rsidRPr="009C4DCE">
        <w:rPr>
          <w:i/>
          <w:lang w:val="de-DE"/>
        </w:rPr>
        <w:t>actio</w:t>
      </w:r>
      <w:proofErr w:type="spellEnd"/>
      <w:r>
        <w:rPr>
          <w:lang w:val="de-DE"/>
        </w:rPr>
        <w:t xml:space="preserve"> und </w:t>
      </w:r>
      <w:proofErr w:type="spellStart"/>
      <w:r w:rsidRPr="009C4DCE">
        <w:rPr>
          <w:i/>
          <w:lang w:val="de-DE"/>
        </w:rPr>
        <w:t>passio</w:t>
      </w:r>
      <w:proofErr w:type="spellEnd"/>
      <w:r>
        <w:rPr>
          <w:lang w:val="de-DE"/>
        </w:rPr>
        <w:t xml:space="preserve"> mit einer das spätere Denken entweder leitenden oder beschämenden Klarheit gesehen. Das Sich-umwenden der Seele (</w:t>
      </w:r>
      <w:proofErr w:type="spellStart"/>
      <w:r w:rsidRPr="009C4DCE">
        <w:rPr>
          <w:i/>
          <w:lang w:val="de-DE"/>
        </w:rPr>
        <w:t>conversio</w:t>
      </w:r>
      <w:proofErr w:type="spellEnd"/>
      <w:r>
        <w:rPr>
          <w:lang w:val="de-DE"/>
        </w:rPr>
        <w:t xml:space="preserve">, […]) ist ihre </w:t>
      </w:r>
      <w:proofErr w:type="spellStart"/>
      <w:r>
        <w:rPr>
          <w:lang w:val="de-DE"/>
        </w:rPr>
        <w:t>eigenste</w:t>
      </w:r>
      <w:proofErr w:type="spellEnd"/>
      <w:r>
        <w:rPr>
          <w:lang w:val="de-DE"/>
        </w:rPr>
        <w:t xml:space="preserve"> Tat – mit Gewalt </w:t>
      </w:r>
      <w:proofErr w:type="spellStart"/>
      <w:r>
        <w:rPr>
          <w:lang w:val="de-DE"/>
        </w:rPr>
        <w:t>muß</w:t>
      </w:r>
      <w:proofErr w:type="spellEnd"/>
      <w:r>
        <w:rPr>
          <w:lang w:val="de-DE"/>
        </w:rPr>
        <w:t xml:space="preserve"> sie sich ihren Fesseln entreißen. Aber diese ihre Tat dient ihr dazu, sich die Sicht des Seienden in seiner höchsten Helle ohne Schaden für ihre Sehkraft schenken zu lassen.“ (51)</w:t>
      </w:r>
    </w:p>
    <w:p w14:paraId="31BD48DF" w14:textId="6758A40B" w:rsidR="00AB306E" w:rsidRDefault="00AB306E">
      <w:pPr>
        <w:rPr>
          <w:lang w:val="de-DE"/>
        </w:rPr>
      </w:pPr>
      <w:r>
        <w:rPr>
          <w:lang w:val="de-DE"/>
        </w:rPr>
        <w:t>„Das Gewissen hat sich uns als ein Organ der Transzendenz dargestellt, dem sich die Wahrnehmung einer von uns verletzten Ordnung aufdrängt.“ (54)</w:t>
      </w:r>
    </w:p>
    <w:p w14:paraId="4E9A2239" w14:textId="51CC52E4" w:rsidR="00AB306E" w:rsidRDefault="004C387A">
      <w:pPr>
        <w:rPr>
          <w:lang w:val="de-DE"/>
        </w:rPr>
      </w:pPr>
      <w:r>
        <w:rPr>
          <w:lang w:val="de-DE"/>
        </w:rPr>
        <w:t xml:space="preserve">„Da wir nun die Frage der Existenz oder Nichtexistenz auf dem Boden gesicherter und allgemein zugänglicher Erkenntnis nicht entscheiden können, tritt die Ontologische Affirmation als heuristische Hypothese in [67] Funktion. Der Vernunftglaube </w:t>
      </w:r>
      <w:proofErr w:type="spellStart"/>
      <w:r>
        <w:rPr>
          <w:lang w:val="de-DE"/>
        </w:rPr>
        <w:t>muß</w:t>
      </w:r>
      <w:proofErr w:type="spellEnd"/>
      <w:r>
        <w:rPr>
          <w:lang w:val="de-DE"/>
        </w:rPr>
        <w:t xml:space="preserve"> der Vernunfterkenntnis vorangehen. Dieser Glaube besteht aber in der Annahme, </w:t>
      </w:r>
      <w:proofErr w:type="spellStart"/>
      <w:r>
        <w:rPr>
          <w:lang w:val="de-DE"/>
        </w:rPr>
        <w:t>daß</w:t>
      </w:r>
      <w:proofErr w:type="spellEnd"/>
      <w:r>
        <w:rPr>
          <w:lang w:val="de-DE"/>
        </w:rPr>
        <w:t xml:space="preserve"> Sinn existiert – </w:t>
      </w:r>
      <w:proofErr w:type="spellStart"/>
      <w:r>
        <w:rPr>
          <w:lang w:val="de-DE"/>
        </w:rPr>
        <w:t>daß</w:t>
      </w:r>
      <w:proofErr w:type="spellEnd"/>
      <w:r>
        <w:rPr>
          <w:lang w:val="de-DE"/>
        </w:rPr>
        <w:t xml:space="preserve"> die unser </w:t>
      </w:r>
      <w:r>
        <w:rPr>
          <w:lang w:val="de-DE"/>
        </w:rPr>
        <w:lastRenderedPageBreak/>
        <w:t>Vernunftvermögen übersteigende Wirklichkeit einen sie gestaltenden Vernunftgehalt birgt.“ (66-67)</w:t>
      </w:r>
    </w:p>
    <w:p w14:paraId="2694C7C7" w14:textId="2EB6B844" w:rsidR="002C7ECA" w:rsidRDefault="002C7ECA">
      <w:pPr>
        <w:rPr>
          <w:lang w:val="de-DE"/>
        </w:rPr>
      </w:pPr>
      <w:r>
        <w:rPr>
          <w:lang w:val="de-DE"/>
        </w:rPr>
        <w:t xml:space="preserve">„Die Ontologische Affirmation ist nicht schon ein </w:t>
      </w:r>
      <w:proofErr w:type="spellStart"/>
      <w:r>
        <w:rPr>
          <w:lang w:val="de-DE"/>
        </w:rPr>
        <w:t>Gewahrwerden</w:t>
      </w:r>
      <w:proofErr w:type="spellEnd"/>
      <w:r>
        <w:rPr>
          <w:lang w:val="de-DE"/>
        </w:rPr>
        <w:t xml:space="preserve"> von Sinn, aber durch sie macht sich die Vernunft zum Vernehmen bereit. Ihre Bedeutung liegt weniger in dem, was sie selbst ist als in dem, was aus ihr folgt.“ (67)</w:t>
      </w:r>
    </w:p>
    <w:p w14:paraId="32C7DFFF" w14:textId="16C3E6C3" w:rsidR="002C7ECA" w:rsidRDefault="002C7ECA">
      <w:pPr>
        <w:rPr>
          <w:lang w:val="de-DE"/>
        </w:rPr>
      </w:pPr>
      <w:r>
        <w:rPr>
          <w:lang w:val="de-DE"/>
        </w:rPr>
        <w:t xml:space="preserve">„Auch darin unterscheidet sich die Ontologische Affirmation von einem hypothetischen Satz, </w:t>
      </w:r>
      <w:proofErr w:type="spellStart"/>
      <w:r>
        <w:rPr>
          <w:lang w:val="de-DE"/>
        </w:rPr>
        <w:t>daß</w:t>
      </w:r>
      <w:proofErr w:type="spellEnd"/>
      <w:r>
        <w:rPr>
          <w:lang w:val="de-DE"/>
        </w:rPr>
        <w:t xml:space="preserve"> sie umfassender ist als jede erdenkliche Hypothese. Deswegen kann sie als Haltung oder Einstellung vollzogen werden ohne gedacht zu sein. So liegt sie als vollzogener aber </w:t>
      </w:r>
      <w:proofErr w:type="spellStart"/>
      <w:r>
        <w:rPr>
          <w:lang w:val="de-DE"/>
        </w:rPr>
        <w:t>ungedachter</w:t>
      </w:r>
      <w:proofErr w:type="spellEnd"/>
      <w:r>
        <w:rPr>
          <w:lang w:val="de-DE"/>
        </w:rPr>
        <w:t xml:space="preserve"> Akt der traditionellen Metaphysik zugrunde“ (68) </w:t>
      </w:r>
    </w:p>
    <w:p w14:paraId="74789609" w14:textId="3EB3B4D4" w:rsidR="001A435A" w:rsidRDefault="001A435A">
      <w:pPr>
        <w:rPr>
          <w:lang w:val="de-DE"/>
        </w:rPr>
      </w:pPr>
      <w:r>
        <w:rPr>
          <w:lang w:val="de-DE"/>
        </w:rPr>
        <w:t xml:space="preserve">„Vielmehr ist alles Erkennen existentiell bedingt. Das bedeutet nicht eine Relativierung der [69] Erkenntnis auf den </w:t>
      </w:r>
      <w:proofErr w:type="spellStart"/>
      <w:r w:rsidRPr="001A435A">
        <w:rPr>
          <w:i/>
          <w:lang w:val="de-DE"/>
        </w:rPr>
        <w:t>habitus</w:t>
      </w:r>
      <w:proofErr w:type="spellEnd"/>
      <w:r>
        <w:rPr>
          <w:lang w:val="de-DE"/>
        </w:rPr>
        <w:t xml:space="preserve">, die Haltung des Erkennenden und damit eine Subjektivierung oder Preisgabe des Begriffes der Wahrheit. Der ‚richtigen‘ Erkenntnis entspricht </w:t>
      </w:r>
      <w:proofErr w:type="spellStart"/>
      <w:r>
        <w:rPr>
          <w:lang w:val="de-DE"/>
        </w:rPr>
        <w:t>jeweiles</w:t>
      </w:r>
      <w:proofErr w:type="spellEnd"/>
      <w:r>
        <w:rPr>
          <w:lang w:val="de-DE"/>
        </w:rPr>
        <w:t xml:space="preserve"> eine ‚angemessene‘ Haltung, und Wahrheit wird errungen in der Verbindung und Wechselbedingtheit von Richtigkeit und Angemessenheit.“ (68-69)</w:t>
      </w:r>
    </w:p>
    <w:p w14:paraId="0F2D04A8" w14:textId="61592D30" w:rsidR="001A435A" w:rsidRDefault="001A435A">
      <w:pPr>
        <w:rPr>
          <w:lang w:val="de-DE"/>
        </w:rPr>
      </w:pPr>
      <w:r>
        <w:rPr>
          <w:lang w:val="de-DE"/>
        </w:rPr>
        <w:t>„Jedem Erkenntnisakt entspricht also eine ihn bedingende und von ihm geformte Haltung.“ (69)</w:t>
      </w:r>
    </w:p>
    <w:p w14:paraId="29760628" w14:textId="3FEB2A93" w:rsidR="00502D73" w:rsidRDefault="00502D73">
      <w:pPr>
        <w:rPr>
          <w:lang w:val="de-DE"/>
        </w:rPr>
      </w:pPr>
      <w:r>
        <w:rPr>
          <w:lang w:val="de-DE"/>
        </w:rPr>
        <w:t xml:space="preserve">„Erst durch diese vernunftgläubige Antizipation und die Vernunftahnung, die sich im Affekt des Staunens ankündigt, schärft sich das Wissen des Nichtwissens aus einer ziellosen Unruhe zu einer zielgerichteten Bemühung.“ (76) </w:t>
      </w:r>
    </w:p>
    <w:p w14:paraId="3BCD28F0" w14:textId="20F27E76" w:rsidR="001621DD" w:rsidRDefault="001621DD">
      <w:pPr>
        <w:rPr>
          <w:lang w:val="de-DE"/>
        </w:rPr>
      </w:pPr>
      <w:r>
        <w:rPr>
          <w:lang w:val="de-DE"/>
        </w:rPr>
        <w:t xml:space="preserve">„In diesem Sinn ist die Ontologische Affirmation ein verbindender Grenzbegriff. Sie ist </w:t>
      </w:r>
      <w:r w:rsidRPr="001621DD">
        <w:rPr>
          <w:i/>
          <w:lang w:val="de-DE"/>
        </w:rPr>
        <w:t>noch</w:t>
      </w:r>
      <w:r>
        <w:rPr>
          <w:lang w:val="de-DE"/>
        </w:rPr>
        <w:t xml:space="preserve"> nicht Glaube und nicht </w:t>
      </w:r>
      <w:r w:rsidRPr="001621DD">
        <w:rPr>
          <w:i/>
          <w:lang w:val="de-DE"/>
        </w:rPr>
        <w:t>mehr</w:t>
      </w:r>
      <w:r>
        <w:rPr>
          <w:lang w:val="de-DE"/>
        </w:rPr>
        <w:t xml:space="preserve"> Erkenntnis. […] Aber noch diese schließlich den Glauben aufhebende Auseinandersetzung zeigt in ihrer Leidenschaftlichkeit das Apriori alles Glaubens: die </w:t>
      </w:r>
      <w:proofErr w:type="spellStart"/>
      <w:r>
        <w:rPr>
          <w:lang w:val="de-DE"/>
        </w:rPr>
        <w:t>Gewißheit</w:t>
      </w:r>
      <w:proofErr w:type="spellEnd"/>
      <w:r>
        <w:rPr>
          <w:lang w:val="de-DE"/>
        </w:rPr>
        <w:t xml:space="preserve">, </w:t>
      </w:r>
      <w:proofErr w:type="spellStart"/>
      <w:r>
        <w:rPr>
          <w:lang w:val="de-DE"/>
        </w:rPr>
        <w:t>daß</w:t>
      </w:r>
      <w:proofErr w:type="spellEnd"/>
      <w:r>
        <w:rPr>
          <w:lang w:val="de-DE"/>
        </w:rPr>
        <w:t xml:space="preserve"> der menschlichen Aspiration nach Sinn eine Realität in übermenschlicher Weise entspricht. Nicht die Erkenntnis: zwar ist sehr wohl zu denken, </w:t>
      </w:r>
      <w:proofErr w:type="spellStart"/>
      <w:r>
        <w:rPr>
          <w:lang w:val="de-DE"/>
        </w:rPr>
        <w:t>daß</w:t>
      </w:r>
      <w:proofErr w:type="spellEnd"/>
      <w:r>
        <w:rPr>
          <w:lang w:val="de-DE"/>
        </w:rPr>
        <w:t xml:space="preserve"> das Denken im Zuge der Aufklärung die Möglichkeit sinnhafter Interpretation der Wirklichkeit aufhebt. Aber damit hebt es zugleich den Sinn von Erkenntnis auf.“ (80)</w:t>
      </w:r>
    </w:p>
    <w:p w14:paraId="11EA4292" w14:textId="7C5B4C91" w:rsidR="001621DD" w:rsidRDefault="00227DA0">
      <w:pPr>
        <w:rPr>
          <w:lang w:val="de-DE"/>
        </w:rPr>
      </w:pPr>
      <w:r>
        <w:rPr>
          <w:lang w:val="de-DE"/>
        </w:rPr>
        <w:t xml:space="preserve">„Die entscheidende Leistung </w:t>
      </w:r>
      <w:r w:rsidR="00F470AE">
        <w:rPr>
          <w:lang w:val="de-DE"/>
        </w:rPr>
        <w:t xml:space="preserve">des Erkennens, zusammenfallend mit dem Hinhören auf das Gewissen, besteht für sie [den Existentialisten; F.E.] gerade in der angstvollen Konfrontierung mit dem Nichts – in der Erfahrung der Sinn- oder Vernunftlosigkeit des Seienden. […] Wenn das Gewissen für sich selbst durchsichtig wird als die ‚Unheimlichkeit der Vereinzelung‘, die sich in der Befindlichkeit der Angst als das enthüllt, was sie wirklich ist, </w:t>
      </w:r>
      <w:proofErr w:type="spellStart"/>
      <w:r w:rsidR="00F470AE">
        <w:rPr>
          <w:lang w:val="de-DE"/>
        </w:rPr>
        <w:t>Gewahrwerden</w:t>
      </w:r>
      <w:proofErr w:type="spellEnd"/>
      <w:r w:rsidR="00F470AE">
        <w:rPr>
          <w:lang w:val="de-DE"/>
        </w:rPr>
        <w:t xml:space="preserve"> der das Dasein durchwaltenden Nichtigkeit, dann sind zwei Tugenden vor allen anderen gefordert: die unbedingte Redlichkeit (der Gegensatz zu der jeder Ideologie zugrunde liegenden </w:t>
      </w:r>
      <w:proofErr w:type="spellStart"/>
      <w:r w:rsidR="00F470AE" w:rsidRPr="00F470AE">
        <w:rPr>
          <w:i/>
          <w:lang w:val="de-DE"/>
        </w:rPr>
        <w:t>mauvaise</w:t>
      </w:r>
      <w:proofErr w:type="spellEnd"/>
      <w:r w:rsidR="00F470AE" w:rsidRPr="00F470AE">
        <w:rPr>
          <w:i/>
          <w:lang w:val="de-DE"/>
        </w:rPr>
        <w:t xml:space="preserve"> </w:t>
      </w:r>
      <w:proofErr w:type="spellStart"/>
      <w:r w:rsidR="00F470AE" w:rsidRPr="00F470AE">
        <w:rPr>
          <w:i/>
          <w:lang w:val="de-DE"/>
        </w:rPr>
        <w:t>foi</w:t>
      </w:r>
      <w:proofErr w:type="spellEnd"/>
      <w:r w:rsidR="00F470AE">
        <w:rPr>
          <w:lang w:val="de-DE"/>
        </w:rPr>
        <w:t xml:space="preserve">), kraft deren wir als Menschen die vernichtende Wahrheit </w:t>
      </w:r>
      <w:proofErr w:type="spellStart"/>
      <w:r w:rsidR="00F470AE">
        <w:rPr>
          <w:lang w:val="de-DE"/>
        </w:rPr>
        <w:t>ber</w:t>
      </w:r>
      <w:proofErr w:type="spellEnd"/>
      <w:r w:rsidR="00F470AE">
        <w:rPr>
          <w:lang w:val="de-DE"/>
        </w:rPr>
        <w:t xml:space="preserve"> den Menschen anerkennen; und der unbedingte Mut, der uns erlaubt, in dieser Situation ohne Hoffnung und Glauben auszuharren.“ (94)</w:t>
      </w:r>
    </w:p>
    <w:p w14:paraId="55954D10" w14:textId="56FE5B4E" w:rsidR="007F77BA" w:rsidRDefault="007F77BA">
      <w:pPr>
        <w:rPr>
          <w:lang w:val="de-DE"/>
        </w:rPr>
      </w:pPr>
      <w:r>
        <w:rPr>
          <w:lang w:val="de-DE"/>
        </w:rPr>
        <w:t>„Jede Tugend</w:t>
      </w:r>
      <w:r w:rsidR="00064923">
        <w:rPr>
          <w:lang w:val="de-DE"/>
        </w:rPr>
        <w:t xml:space="preserve"> ist ein ‚</w:t>
      </w:r>
      <w:proofErr w:type="spellStart"/>
      <w:r w:rsidR="00064923" w:rsidRPr="00064923">
        <w:rPr>
          <w:i/>
          <w:lang w:val="de-DE"/>
        </w:rPr>
        <w:t>habitus</w:t>
      </w:r>
      <w:proofErr w:type="spellEnd"/>
      <w:r w:rsidR="00064923">
        <w:rPr>
          <w:lang w:val="de-DE"/>
        </w:rPr>
        <w:t>‘, eine lebendige Beständigkeit im Verhalten der Seele.“ (112)</w:t>
      </w:r>
    </w:p>
    <w:p w14:paraId="7701B27F" w14:textId="2DF15877" w:rsidR="00064923" w:rsidRDefault="00064923">
      <w:pPr>
        <w:rPr>
          <w:lang w:val="de-DE"/>
        </w:rPr>
      </w:pPr>
      <w:r>
        <w:rPr>
          <w:lang w:val="de-DE"/>
        </w:rPr>
        <w:t xml:space="preserve">„Natur im Sinn der Natürlichkeit der Ontologischen Affirmation bezeichnet die aus sich selbst bestehende Ordnung der Wirklichkeit.“ (114) </w:t>
      </w:r>
    </w:p>
    <w:p w14:paraId="1EDB9C95" w14:textId="201175B1" w:rsidR="00064923" w:rsidRDefault="00064923">
      <w:pPr>
        <w:rPr>
          <w:lang w:val="de-DE"/>
        </w:rPr>
      </w:pPr>
      <w:r>
        <w:rPr>
          <w:lang w:val="de-DE"/>
        </w:rPr>
        <w:t xml:space="preserve">„Das Resultat der Ontologischen Affirmation ist, nach der Seite der Erkenntnis hin, die Verwirklichung der phänomenologischen Devise ‚Zurück zu den Sachen!‘, die rein aufnehmende Offenheit für das Sein. </w:t>
      </w:r>
      <w:r w:rsidR="007B5758">
        <w:rPr>
          <w:lang w:val="de-DE"/>
        </w:rPr>
        <w:t xml:space="preserve">[…] Hinsichtlich der Praxis aber resultiert die </w:t>
      </w:r>
      <w:proofErr w:type="spellStart"/>
      <w:r w:rsidR="007B5758">
        <w:rPr>
          <w:lang w:val="de-DE"/>
        </w:rPr>
        <w:t>Affirmatin</w:t>
      </w:r>
      <w:proofErr w:type="spellEnd"/>
      <w:r w:rsidR="007B5758">
        <w:rPr>
          <w:lang w:val="de-DE"/>
        </w:rPr>
        <w:t xml:space="preserve">, in dem über unser durchschnittliches Vollbringen unendlich weit hinausreichenden Fall reiner Verwirklichung, in der Aufhebung der Selbstaffirmation und des Willens, der Vorbedingung für das reine Gute.“ (117) </w:t>
      </w:r>
    </w:p>
    <w:p w14:paraId="58DCC0C5" w14:textId="0D1F553A" w:rsidR="006E225E" w:rsidRDefault="006E225E">
      <w:pPr>
        <w:rPr>
          <w:lang w:val="de-DE"/>
        </w:rPr>
      </w:pPr>
      <w:r>
        <w:rPr>
          <w:lang w:val="de-DE"/>
        </w:rPr>
        <w:lastRenderedPageBreak/>
        <w:t>„Die aristotelische, wie überhaupt die griechische Ethik ist in erster Linie mit dem [</w:t>
      </w:r>
      <w:proofErr w:type="spellStart"/>
      <w:r>
        <w:rPr>
          <w:lang w:val="de-DE"/>
        </w:rPr>
        <w:t>bios</w:t>
      </w:r>
      <w:proofErr w:type="spellEnd"/>
      <w:r>
        <w:rPr>
          <w:lang w:val="de-DE"/>
        </w:rPr>
        <w:t xml:space="preserve">], dem als Gesamtgestalt zu verwirklichenden Leben, </w:t>
      </w:r>
      <w:proofErr w:type="spellStart"/>
      <w:r>
        <w:rPr>
          <w:lang w:val="de-DE"/>
        </w:rPr>
        <w:t>befaßt</w:t>
      </w:r>
      <w:proofErr w:type="spellEnd"/>
      <w:r>
        <w:rPr>
          <w:lang w:val="de-DE"/>
        </w:rPr>
        <w:t>. […] Für Kant hingegen, dessen Denken sich weniger auf das geglückte oder verfehlte Leben als auf die dem guten oder bösen Willen entspringende Tat richtet“ (125)</w:t>
      </w:r>
    </w:p>
    <w:p w14:paraId="06155728" w14:textId="33A7BC94" w:rsidR="00511076" w:rsidRDefault="00511076">
      <w:pPr>
        <w:rPr>
          <w:lang w:val="de-DE"/>
        </w:rPr>
      </w:pPr>
      <w:r>
        <w:rPr>
          <w:lang w:val="de-DE"/>
        </w:rPr>
        <w:t xml:space="preserve">„Der Selbstaufbau des Daseins erfolgt durch Nachahmung in dem hohen Sinn der Nacheiferung – nicht aus Mangel an Originalität, sondern weil die unartikulierte aber übermächtige </w:t>
      </w:r>
      <w:proofErr w:type="spellStart"/>
      <w:r w:rsidRPr="00511076">
        <w:rPr>
          <w:i/>
          <w:lang w:val="de-DE"/>
        </w:rPr>
        <w:t>cognitio</w:t>
      </w:r>
      <w:proofErr w:type="spellEnd"/>
      <w:r w:rsidRPr="00511076">
        <w:rPr>
          <w:i/>
          <w:lang w:val="de-DE"/>
        </w:rPr>
        <w:t xml:space="preserve"> </w:t>
      </w:r>
      <w:proofErr w:type="spellStart"/>
      <w:r w:rsidRPr="00511076">
        <w:rPr>
          <w:i/>
          <w:lang w:val="de-DE"/>
        </w:rPr>
        <w:t>matutina</w:t>
      </w:r>
      <w:proofErr w:type="spellEnd"/>
      <w:r w:rsidRPr="00511076">
        <w:rPr>
          <w:i/>
          <w:lang w:val="de-DE"/>
        </w:rPr>
        <w:t xml:space="preserve"> </w:t>
      </w:r>
      <w:r>
        <w:rPr>
          <w:lang w:val="de-DE"/>
        </w:rPr>
        <w:t xml:space="preserve">dessen, was wir sein sollen, zuerst am Anderen aufleuchtet; weil das treibende ‚Werde was du bist!‘ sich der Natur der Sache nach hinter dem ‚Werde wir ein Anderer ist!‘ verbirgt.“ (137) </w:t>
      </w:r>
    </w:p>
    <w:p w14:paraId="44FA3FC0" w14:textId="5490E421" w:rsidR="003D07D6" w:rsidRDefault="003D07D6">
      <w:pPr>
        <w:rPr>
          <w:lang w:val="de-DE"/>
        </w:rPr>
      </w:pPr>
      <w:r>
        <w:rPr>
          <w:lang w:val="de-DE"/>
        </w:rPr>
        <w:t xml:space="preserve">„Kraft der ‚Ontologischen Affirmation‘ fügt sich die Person in eine erst die Einfügung sichtbar werdenden Ordnung, und sie tut das als Jemand, der die Ordnung verletzt hat. Die Einfügung ist demnach ein sühnendes Sich-wieder-einfügen, und die daraus entspringende Einsicht ein reuiges Einsehen-haben. Das In-sich-gehen, erzwungen durch die Not des Gewissens, wird zu einem freien Über-sich-hinaus- und Zum-Sein-hingehen. Zum Sein, nicht zu Seiendem: dem Gewissensakt kommt eine mehr-als-ontische, eine ontologische Bedeutung zu. Allem Seienden als Seiendem gegenüber ist die Frage zu stellen, ob es sein sollte. Mit dieser Frage ist die Unterscheidung zwischen Dasein und So-sein und zugleich eine Beziehung von Dasein und So-sein gesetzt. Als Voraussetzung der Frage gilt: es gibt ein So-sein, das die Existenz (das Dasein) rechtfertigt, das also die Frage nach dem Sein-sollen, die Sinnfrage, unter sich </w:t>
      </w:r>
      <w:proofErr w:type="spellStart"/>
      <w:r>
        <w:rPr>
          <w:lang w:val="de-DE"/>
        </w:rPr>
        <w:t>läßt</w:t>
      </w:r>
      <w:proofErr w:type="spellEnd"/>
      <w:r>
        <w:rPr>
          <w:lang w:val="de-DE"/>
        </w:rPr>
        <w:t>; und es wird nun, in der an das Seiende gerichteten Sollens-frage, gefragt, ob dies So-seiende in seinem Dasein die Bedingungen des sich rechtfertigenden So-seins erfüllt. Seine Existenz wird also erkannt, aber nicht als aus sich selbst bestehend, sich s</w:t>
      </w:r>
      <w:r w:rsidR="00BB1B0F">
        <w:rPr>
          <w:lang w:val="de-DE"/>
        </w:rPr>
        <w:t xml:space="preserve">elbst rechtfertigend anerkannt. Anders die sich im Gewissen ankündigende </w:t>
      </w:r>
      <w:proofErr w:type="spellStart"/>
      <w:r w:rsidR="00BB1B0F">
        <w:rPr>
          <w:lang w:val="de-DE"/>
        </w:rPr>
        <w:t>Seinsordnung</w:t>
      </w:r>
      <w:proofErr w:type="spellEnd"/>
      <w:r w:rsidR="00BB1B0F">
        <w:rPr>
          <w:lang w:val="de-DE"/>
        </w:rPr>
        <w:t xml:space="preserve">. Sie IST, aber in einer anderen Weise als Seiendes ist. Nicht nur schließt sie die Frage ‚Sollte sie sein?‘ und damit die Unterscheidung von So-sein und Dasein aus – sie ist der Grund, auf den diese an Seiendes </w:t>
      </w:r>
      <w:proofErr w:type="gramStart"/>
      <w:r w:rsidR="00BB1B0F">
        <w:rPr>
          <w:lang w:val="de-DE"/>
        </w:rPr>
        <w:t>zu stellende Frage</w:t>
      </w:r>
      <w:proofErr w:type="gramEnd"/>
      <w:r w:rsidR="00BB1B0F">
        <w:rPr>
          <w:lang w:val="de-DE"/>
        </w:rPr>
        <w:t xml:space="preserve"> sich bezieht und von dem her die im Sollen ausgedrückte Forderung gestellt wird. Sie ist die Koinzidenz des […], die uns, die existierende Person, in Frage – in die Gewissensfrage – stellt, aber die nicht von uns in Frage gestellt werden kann.“ (158) </w:t>
      </w:r>
    </w:p>
    <w:p w14:paraId="558CA020" w14:textId="4B453CD7" w:rsidR="00BB1B0F" w:rsidRDefault="00BB1B0F">
      <w:pPr>
        <w:rPr>
          <w:lang w:val="de-DE"/>
        </w:rPr>
      </w:pPr>
      <w:r>
        <w:rPr>
          <w:lang w:val="de-DE"/>
        </w:rPr>
        <w:t xml:space="preserve">„Vom Menschen her und durch den Menschen erschließt und verschließt sich uns Sein. Die Begegnung mit dem Sein – wie auch mit dem Nichts – ist vermittelt durch die Begegnung mit dem Menschen. In ihr zeigt sich die Urform der Ontologischen Affirmation.“ (159) </w:t>
      </w:r>
    </w:p>
    <w:p w14:paraId="3A3BDB66" w14:textId="5FC77B60" w:rsidR="009E23B7" w:rsidRDefault="009E23B7">
      <w:pPr>
        <w:rPr>
          <w:lang w:val="de-DE"/>
        </w:rPr>
      </w:pPr>
      <w:r>
        <w:rPr>
          <w:lang w:val="de-DE"/>
        </w:rPr>
        <w:t>„Das An-sich-</w:t>
      </w:r>
      <w:proofErr w:type="spellStart"/>
      <w:r>
        <w:rPr>
          <w:lang w:val="de-DE"/>
        </w:rPr>
        <w:t>sein</w:t>
      </w:r>
      <w:proofErr w:type="spellEnd"/>
      <w:r>
        <w:rPr>
          <w:lang w:val="de-DE"/>
        </w:rPr>
        <w:t xml:space="preserve"> der Welt wird durch das </w:t>
      </w:r>
      <w:r w:rsidR="005104FA">
        <w:rPr>
          <w:lang w:val="de-DE"/>
        </w:rPr>
        <w:t xml:space="preserve">An-sich der Person gerettet. Hier, und nirgend anderswo, kann die das philosophische Denken zerstörende Dichotomie von ‚Sein‘ und ‚Wert‘, von existentiell irrelevanten aber zwingenden, unabhängig von der erkennenden Person geltenden Sacherkenntnissen einerseits, und existentiell relevanten, aber ich-verhafteten und des erkenntnismäßigen Sachbezuges baren Vorstellungsgebilden andererseits überwunden werden. Denn hier zeigt sich uns ein Gegenstand, der als das, was er wirklich ist, nur </w:t>
      </w:r>
      <w:proofErr w:type="spellStart"/>
      <w:r w:rsidR="005104FA">
        <w:rPr>
          <w:lang w:val="de-DE"/>
        </w:rPr>
        <w:t>erfaßt</w:t>
      </w:r>
      <w:proofErr w:type="spellEnd"/>
      <w:r w:rsidR="005104FA">
        <w:rPr>
          <w:lang w:val="de-DE"/>
        </w:rPr>
        <w:t xml:space="preserve"> werden kann auf Grund einer richtigen Haltung zu ihm, derart, </w:t>
      </w:r>
      <w:proofErr w:type="spellStart"/>
      <w:r w:rsidR="005104FA">
        <w:rPr>
          <w:lang w:val="de-DE"/>
        </w:rPr>
        <w:t>daß</w:t>
      </w:r>
      <w:proofErr w:type="spellEnd"/>
      <w:r w:rsidR="005104FA">
        <w:rPr>
          <w:lang w:val="de-DE"/>
        </w:rPr>
        <w:t xml:space="preserve"> Haltung, als die existentielle Bedingung der Erkenntnis, und Erkenntnis selbst sich gegenseitig bedingen und formen.“ (165) </w:t>
      </w:r>
    </w:p>
    <w:p w14:paraId="02D4EA12" w14:textId="255C37DA" w:rsidR="00074B07" w:rsidRDefault="00074B07">
      <w:pPr>
        <w:rPr>
          <w:lang w:val="de-DE"/>
        </w:rPr>
      </w:pPr>
      <w:r>
        <w:rPr>
          <w:lang w:val="de-DE"/>
        </w:rPr>
        <w:t>„Aber dem ‚Um</w:t>
      </w:r>
      <w:r w:rsidR="008C37A6">
        <w:rPr>
          <w:lang w:val="de-DE"/>
        </w:rPr>
        <w:t>-leben‘ geht das Umdenken voraus.“ (187)</w:t>
      </w:r>
    </w:p>
    <w:p w14:paraId="2CACA8D9" w14:textId="77777777" w:rsidR="008C37A6" w:rsidRDefault="008C37A6">
      <w:pPr>
        <w:rPr>
          <w:lang w:val="de-DE"/>
        </w:rPr>
      </w:pPr>
      <w:r>
        <w:rPr>
          <w:lang w:val="de-DE"/>
        </w:rPr>
        <w:t>„Nicht der Einzelne geht fehl – wir sind verirrt. Die Reichweite aber und die Bestimmungsmacht dieses ‚Wir‘ bleiben tief verhüllt.</w:t>
      </w:r>
    </w:p>
    <w:p w14:paraId="5DD772C5" w14:textId="6AE5D092" w:rsidR="008C37A6" w:rsidRPr="00227DA0" w:rsidRDefault="008C37A6">
      <w:pPr>
        <w:rPr>
          <w:lang w:val="de-DE"/>
        </w:rPr>
      </w:pPr>
      <w:r>
        <w:rPr>
          <w:lang w:val="de-DE"/>
        </w:rPr>
        <w:lastRenderedPageBreak/>
        <w:t xml:space="preserve">Die Verbergung der Schuld durch technologische </w:t>
      </w:r>
      <w:proofErr w:type="spellStart"/>
      <w:r>
        <w:rPr>
          <w:lang w:val="de-DE"/>
        </w:rPr>
        <w:t>Depersonalisierung</w:t>
      </w:r>
      <w:proofErr w:type="spellEnd"/>
      <w:r>
        <w:rPr>
          <w:lang w:val="de-DE"/>
        </w:rPr>
        <w:t xml:space="preserve"> der Tat und durch Vergesellschaftung der Ursächlichkeit entspricht als die Antwort nachdenklicher Sensibilität jene durch das Schlagwort ‚Modernität‘ bezeichnete Gewissenslage.</w:t>
      </w:r>
      <w:bookmarkStart w:id="0" w:name="_GoBack"/>
      <w:bookmarkEnd w:id="0"/>
      <w:r>
        <w:rPr>
          <w:lang w:val="de-DE"/>
        </w:rPr>
        <w:t xml:space="preserve">“ (189) </w:t>
      </w:r>
    </w:p>
    <w:sectPr w:rsidR="008C37A6" w:rsidRPr="00227DA0"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44B1"/>
    <w:rsid w:val="00011389"/>
    <w:rsid w:val="00056B84"/>
    <w:rsid w:val="00064923"/>
    <w:rsid w:val="000667AB"/>
    <w:rsid w:val="00074B07"/>
    <w:rsid w:val="001231ED"/>
    <w:rsid w:val="00136BCD"/>
    <w:rsid w:val="001621DD"/>
    <w:rsid w:val="00176728"/>
    <w:rsid w:val="001A154F"/>
    <w:rsid w:val="001A435A"/>
    <w:rsid w:val="00227DA0"/>
    <w:rsid w:val="002A10BF"/>
    <w:rsid w:val="002C1D55"/>
    <w:rsid w:val="002C7ECA"/>
    <w:rsid w:val="00395CDE"/>
    <w:rsid w:val="003D07D6"/>
    <w:rsid w:val="004A3A05"/>
    <w:rsid w:val="004C387A"/>
    <w:rsid w:val="004D0D16"/>
    <w:rsid w:val="00502D73"/>
    <w:rsid w:val="005104FA"/>
    <w:rsid w:val="00511076"/>
    <w:rsid w:val="0055526E"/>
    <w:rsid w:val="00585AE7"/>
    <w:rsid w:val="00635244"/>
    <w:rsid w:val="006E0AF6"/>
    <w:rsid w:val="006E225E"/>
    <w:rsid w:val="00792E15"/>
    <w:rsid w:val="007957D7"/>
    <w:rsid w:val="007B5758"/>
    <w:rsid w:val="007C0398"/>
    <w:rsid w:val="007F77BA"/>
    <w:rsid w:val="008556A0"/>
    <w:rsid w:val="008C37A6"/>
    <w:rsid w:val="008D36A7"/>
    <w:rsid w:val="009C4DCE"/>
    <w:rsid w:val="009E23B7"/>
    <w:rsid w:val="00AB306E"/>
    <w:rsid w:val="00AC72C2"/>
    <w:rsid w:val="00AD2A56"/>
    <w:rsid w:val="00AD2F4B"/>
    <w:rsid w:val="00B244EE"/>
    <w:rsid w:val="00B96D45"/>
    <w:rsid w:val="00BB1B0F"/>
    <w:rsid w:val="00C43357"/>
    <w:rsid w:val="00E00440"/>
    <w:rsid w:val="00E663EF"/>
    <w:rsid w:val="00F470AE"/>
    <w:rsid w:val="00FA214F"/>
    <w:rsid w:val="00FC386E"/>
    <w:rsid w:val="00FE36DF"/>
    <w:rsid w:val="00FE44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1BF5388"/>
  <w14:defaultImageDpi w14:val="32767"/>
  <w15:chartTrackingRefBased/>
  <w15:docId w15:val="{052EDE5F-22E9-944A-B52A-4357BECD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335</TotalTime>
  <Pages>6</Pages>
  <Words>2673</Words>
  <Characters>15240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27</cp:revision>
  <dcterms:created xsi:type="dcterms:W3CDTF">2019-04-22T17:37:00Z</dcterms:created>
  <dcterms:modified xsi:type="dcterms:W3CDTF">2020-05-12T14:46:00Z</dcterms:modified>
</cp:coreProperties>
</file>