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5CE0D" w14:textId="77777777" w:rsidR="006A41F3" w:rsidRPr="00507BEA" w:rsidRDefault="00507BEA">
      <w:pPr>
        <w:rPr>
          <w:b/>
          <w:lang w:val="de-DE"/>
        </w:rPr>
      </w:pPr>
      <w:r w:rsidRPr="00507BEA">
        <w:rPr>
          <w:b/>
          <w:lang w:val="de-DE"/>
        </w:rPr>
        <w:t xml:space="preserve">Erich </w:t>
      </w:r>
      <w:proofErr w:type="spellStart"/>
      <w:r w:rsidRPr="00507BEA">
        <w:rPr>
          <w:b/>
          <w:lang w:val="de-DE"/>
        </w:rPr>
        <w:t>Kleineidam</w:t>
      </w:r>
      <w:proofErr w:type="spellEnd"/>
      <w:r w:rsidRPr="00507BEA">
        <w:rPr>
          <w:b/>
          <w:lang w:val="de-DE"/>
        </w:rPr>
        <w:t>: Wissen, Wissenschaft, Theologie bei Bernhard von Clairvaux. Leipzig: St.-Benno Verlag, 1955.</w:t>
      </w:r>
    </w:p>
    <w:p w14:paraId="730E8736" w14:textId="77777777" w:rsidR="00507BEA" w:rsidRDefault="00507BEA">
      <w:pPr>
        <w:rPr>
          <w:lang w:val="de-DE"/>
        </w:rPr>
      </w:pPr>
    </w:p>
    <w:p w14:paraId="0F660F31" w14:textId="77777777" w:rsidR="00507BEA" w:rsidRDefault="00702CAF">
      <w:pPr>
        <w:rPr>
          <w:lang w:val="de-DE"/>
        </w:rPr>
      </w:pPr>
      <w:r>
        <w:rPr>
          <w:lang w:val="de-DE"/>
        </w:rPr>
        <w:t>„Seine Liebe galt der Predigt.“ (13)</w:t>
      </w:r>
    </w:p>
    <w:p w14:paraId="596185EB" w14:textId="77777777" w:rsidR="00702CAF" w:rsidRDefault="00702CAF">
      <w:pPr>
        <w:rPr>
          <w:lang w:val="de-DE"/>
        </w:rPr>
      </w:pPr>
      <w:r>
        <w:rPr>
          <w:lang w:val="de-DE"/>
        </w:rPr>
        <w:t>„schon zu seinen Lebzeiten in den Verdacht der Wissenschaftsfeindlichkeit“ (15)</w:t>
      </w:r>
    </w:p>
    <w:p w14:paraId="0D5B6E47" w14:textId="77777777" w:rsidR="00702CAF" w:rsidRDefault="00702CAF">
      <w:pPr>
        <w:rPr>
          <w:lang w:val="de-DE"/>
        </w:rPr>
      </w:pPr>
      <w:r>
        <w:rPr>
          <w:lang w:val="de-DE"/>
        </w:rPr>
        <w:t xml:space="preserve">„Der Mensch </w:t>
      </w:r>
      <w:proofErr w:type="spellStart"/>
      <w:r>
        <w:rPr>
          <w:lang w:val="de-DE"/>
        </w:rPr>
        <w:t>muß</w:t>
      </w:r>
      <w:proofErr w:type="spellEnd"/>
      <w:r>
        <w:rPr>
          <w:lang w:val="de-DE"/>
        </w:rPr>
        <w:t xml:space="preserve"> konkret fragen, welche Bedeutung das Wissen für sein Gesamtleben hat.“ (18) </w:t>
      </w:r>
    </w:p>
    <w:p w14:paraId="07A24E79" w14:textId="77777777" w:rsidR="00702CAF" w:rsidRDefault="00702CAF">
      <w:pPr>
        <w:rPr>
          <w:lang w:val="de-DE"/>
        </w:rPr>
      </w:pPr>
      <w:r>
        <w:rPr>
          <w:lang w:val="de-DE"/>
        </w:rPr>
        <w:t>„Das Wissen dient dazu, das Ziel des Lebens, und das ist das Heil, zu erreichen. Ohne diese klare Zielsetzung gibt es keine Rangordnung im Wissen“ (18)</w:t>
      </w:r>
    </w:p>
    <w:p w14:paraId="78A91FAA" w14:textId="77777777" w:rsidR="00702CAF" w:rsidRDefault="00702CAF">
      <w:pPr>
        <w:rPr>
          <w:lang w:val="de-DE"/>
        </w:rPr>
      </w:pPr>
      <w:r>
        <w:rPr>
          <w:lang w:val="de-DE"/>
        </w:rPr>
        <w:t xml:space="preserve">„Es ist sorgendes Wissen, er </w:t>
      </w:r>
      <w:proofErr w:type="spellStart"/>
      <w:r>
        <w:rPr>
          <w:lang w:val="de-DE"/>
        </w:rPr>
        <w:t>muß</w:t>
      </w:r>
      <w:proofErr w:type="spellEnd"/>
      <w:r>
        <w:rPr>
          <w:lang w:val="de-DE"/>
        </w:rPr>
        <w:t xml:space="preserve"> zu allererst für sein Heil sorgen“ (19)</w:t>
      </w:r>
    </w:p>
    <w:p w14:paraId="0B30C74E" w14:textId="77777777" w:rsidR="00702CAF" w:rsidRDefault="00702CAF">
      <w:pPr>
        <w:rPr>
          <w:lang w:val="de-DE"/>
        </w:rPr>
      </w:pPr>
      <w:r>
        <w:rPr>
          <w:lang w:val="de-DE"/>
        </w:rPr>
        <w:t>„Wissen ist nicht Selbstzweck, sondern nur Mittel, es hat dienende Funktion, die für den Christen durch die drei Begriffe bestimmt wird: das Heil, die Liebe, die Erbauung. Sie bestimmen Ordnung, Intensität und Zweck des Wissens, Wissen ist nicht eine unterschiedslose Anhäufung</w:t>
      </w:r>
      <w:r w:rsidR="00FE1421">
        <w:rPr>
          <w:lang w:val="de-DE"/>
        </w:rPr>
        <w:t xml:space="preserve"> beliebiger Daten, sondern es gibt eine Hierarchie, eine Rangordnung im Wissen, die sich nach ihrer inneren Nähe zum Heil bestimmt; dieser Maßstab entscheidet, was wichtig oder unwichtig, groß oder klein, was die wissenswürdigsten Dinge sind, um die der Mensch sich mühen soll; er </w:t>
      </w:r>
      <w:proofErr w:type="spellStart"/>
      <w:r w:rsidR="00FE1421">
        <w:rPr>
          <w:lang w:val="de-DE"/>
        </w:rPr>
        <w:t>muß</w:t>
      </w:r>
      <w:proofErr w:type="spellEnd"/>
      <w:r w:rsidR="00FE1421">
        <w:rPr>
          <w:lang w:val="de-DE"/>
        </w:rPr>
        <w:t xml:space="preserve"> der Ordnung nach zuerst das Wissen erwerben, was reifer zum Heil macht.“ (19) </w:t>
      </w:r>
    </w:p>
    <w:p w14:paraId="695AA944" w14:textId="77777777" w:rsidR="00FE1421" w:rsidRDefault="00FE1421">
      <w:pPr>
        <w:rPr>
          <w:lang w:val="de-DE"/>
        </w:rPr>
      </w:pPr>
      <w:r>
        <w:rPr>
          <w:lang w:val="de-DE"/>
        </w:rPr>
        <w:t xml:space="preserve">„Wissen </w:t>
      </w:r>
      <w:proofErr w:type="gramStart"/>
      <w:r>
        <w:rPr>
          <w:lang w:val="de-DE"/>
        </w:rPr>
        <w:t>um des bloßen Wissens</w:t>
      </w:r>
      <w:proofErr w:type="gramEnd"/>
      <w:r>
        <w:rPr>
          <w:lang w:val="de-DE"/>
        </w:rPr>
        <w:t xml:space="preserve"> willen anerkennt er nicht.“ (20)</w:t>
      </w:r>
    </w:p>
    <w:p w14:paraId="561C7CCE" w14:textId="77777777" w:rsidR="00FE1421" w:rsidRDefault="00FE1421">
      <w:pPr>
        <w:rPr>
          <w:lang w:val="de-DE"/>
        </w:rPr>
      </w:pPr>
      <w:r>
        <w:rPr>
          <w:lang w:val="de-DE"/>
        </w:rPr>
        <w:t xml:space="preserve">„Der Mensch liebt die Selbsterkenntnis nicht. Er schweift lieber unruhig und neugierig in der Welt herum und übersieht und verliert sich selbst dabei. Zuerst aber </w:t>
      </w:r>
      <w:proofErr w:type="spellStart"/>
      <w:r>
        <w:rPr>
          <w:lang w:val="de-DE"/>
        </w:rPr>
        <w:t>muß</w:t>
      </w:r>
      <w:proofErr w:type="spellEnd"/>
      <w:r>
        <w:rPr>
          <w:lang w:val="de-DE"/>
        </w:rPr>
        <w:t xml:space="preserve"> der Mensch sich selbst in den Blick bekommen und sich selbst erkennen.“ (20)</w:t>
      </w:r>
    </w:p>
    <w:p w14:paraId="1DECC248" w14:textId="77777777" w:rsidR="00FE1421" w:rsidRDefault="00FE1421">
      <w:pPr>
        <w:rPr>
          <w:lang w:val="de-DE"/>
        </w:rPr>
      </w:pPr>
      <w:r>
        <w:rPr>
          <w:lang w:val="de-DE"/>
        </w:rPr>
        <w:t xml:space="preserve">„Der Weg zu Gott führt bei Bernhard über die Selbsterkenntnis, und das heißt für ihn vor allem über das </w:t>
      </w:r>
      <w:proofErr w:type="spellStart"/>
      <w:r>
        <w:rPr>
          <w:lang w:val="de-DE"/>
        </w:rPr>
        <w:t>Bewußtsein</w:t>
      </w:r>
      <w:proofErr w:type="spellEnd"/>
      <w:r>
        <w:rPr>
          <w:lang w:val="de-DE"/>
        </w:rPr>
        <w:t xml:space="preserve"> der Freiheit.“ (21) </w:t>
      </w:r>
    </w:p>
    <w:p w14:paraId="1EE5F6A9" w14:textId="77777777" w:rsidR="00FE1421" w:rsidRDefault="00FE1421">
      <w:pPr>
        <w:rPr>
          <w:lang w:val="de-DE"/>
        </w:rPr>
      </w:pPr>
      <w:r>
        <w:rPr>
          <w:lang w:val="de-DE"/>
        </w:rPr>
        <w:t xml:space="preserve">„Der Mensch </w:t>
      </w:r>
      <w:proofErr w:type="spellStart"/>
      <w:r>
        <w:rPr>
          <w:lang w:val="de-DE"/>
        </w:rPr>
        <w:t>muß</w:t>
      </w:r>
      <w:proofErr w:type="spellEnd"/>
      <w:r>
        <w:rPr>
          <w:lang w:val="de-DE"/>
        </w:rPr>
        <w:t xml:space="preserve"> sich selbst erst einmal so sehen, wie er in Wahrheit ist, ohne Illusion: in der Würde seiner Freiheit, aber auch in der Schmach seines wirklichen Zustandes.“ (23)</w:t>
      </w:r>
    </w:p>
    <w:p w14:paraId="77347534" w14:textId="77777777" w:rsidR="00FE1421" w:rsidRDefault="00FE1421">
      <w:pPr>
        <w:rPr>
          <w:lang w:val="de-DE"/>
        </w:rPr>
      </w:pPr>
      <w:r>
        <w:rPr>
          <w:lang w:val="de-DE"/>
        </w:rPr>
        <w:t>„Weil die Erkenntnis der Wahrheit des Menschen, die im jetzigen Zustand für ihn stets nur eine schmerzliche sein kann, Grundvoraussetzung der Demut ist, über die er allein zu Gott kommen kann, darum sieht Bernhard in ihr den Anfangspunkt alles christlichen Wissens</w:t>
      </w:r>
      <w:r w:rsidR="00413C3A">
        <w:rPr>
          <w:lang w:val="de-DE"/>
        </w:rPr>
        <w:t xml:space="preserve">.“ (25) </w:t>
      </w:r>
    </w:p>
    <w:p w14:paraId="3281347E" w14:textId="77777777" w:rsidR="00413C3A" w:rsidRDefault="00413C3A">
      <w:pPr>
        <w:rPr>
          <w:lang w:val="de-DE"/>
        </w:rPr>
      </w:pPr>
      <w:r>
        <w:rPr>
          <w:lang w:val="de-DE"/>
        </w:rPr>
        <w:t xml:space="preserve">„Damit ist eine entscheidende Rangordnung des Wissens aufgestellt. Bernhard hat lange gezögert, diese klare und scharfe </w:t>
      </w:r>
      <w:proofErr w:type="spellStart"/>
      <w:r>
        <w:rPr>
          <w:lang w:val="de-DE"/>
        </w:rPr>
        <w:t>Schlußfolgerung</w:t>
      </w:r>
      <w:proofErr w:type="spellEnd"/>
      <w:r>
        <w:rPr>
          <w:lang w:val="de-DE"/>
        </w:rPr>
        <w:t xml:space="preserve"> zu ziehen. Er weiß, </w:t>
      </w:r>
      <w:proofErr w:type="spellStart"/>
      <w:r>
        <w:rPr>
          <w:lang w:val="de-DE"/>
        </w:rPr>
        <w:t>daß</w:t>
      </w:r>
      <w:proofErr w:type="spellEnd"/>
      <w:r>
        <w:rPr>
          <w:lang w:val="de-DE"/>
        </w:rPr>
        <w:t xml:space="preserve"> er damit eine Entwertung des Sachwissens vollzieht.“ (28)</w:t>
      </w:r>
    </w:p>
    <w:p w14:paraId="21C78F21" w14:textId="77777777" w:rsidR="00413C3A" w:rsidRDefault="00413C3A">
      <w:pPr>
        <w:rPr>
          <w:lang w:val="de-DE"/>
        </w:rPr>
      </w:pPr>
      <w:r>
        <w:rPr>
          <w:lang w:val="de-DE"/>
        </w:rPr>
        <w:t xml:space="preserve">„Meinst du, es ist eine geringe Sache, zu leben wissen? Etwas Großes ist es, ja das Größte.“ ([In f. Petri et Pauli s. 2,3] 30) </w:t>
      </w:r>
    </w:p>
    <w:p w14:paraId="7FCAB828" w14:textId="77777777" w:rsidR="00413C3A" w:rsidRDefault="00413C3A">
      <w:pPr>
        <w:rPr>
          <w:lang w:val="de-DE"/>
        </w:rPr>
      </w:pPr>
      <w:r>
        <w:rPr>
          <w:lang w:val="de-DE"/>
        </w:rPr>
        <w:t xml:space="preserve">„Hier ist es so wie beim Reichtum: man </w:t>
      </w:r>
      <w:proofErr w:type="spellStart"/>
      <w:r>
        <w:rPr>
          <w:lang w:val="de-DE"/>
        </w:rPr>
        <w:t>muß</w:t>
      </w:r>
      <w:proofErr w:type="spellEnd"/>
      <w:r>
        <w:rPr>
          <w:lang w:val="de-DE"/>
        </w:rPr>
        <w:t xml:space="preserve"> von ihm nicht nur wissen, man </w:t>
      </w:r>
      <w:proofErr w:type="spellStart"/>
      <w:r>
        <w:rPr>
          <w:lang w:val="de-DE"/>
        </w:rPr>
        <w:t>muß</w:t>
      </w:r>
      <w:proofErr w:type="spellEnd"/>
      <w:r>
        <w:rPr>
          <w:lang w:val="de-DE"/>
        </w:rPr>
        <w:t xml:space="preserve"> ihn besitzen. Ebenso </w:t>
      </w:r>
      <w:proofErr w:type="spellStart"/>
      <w:r>
        <w:rPr>
          <w:lang w:val="de-DE"/>
        </w:rPr>
        <w:t>muß</w:t>
      </w:r>
      <w:proofErr w:type="spellEnd"/>
      <w:r>
        <w:rPr>
          <w:lang w:val="de-DE"/>
        </w:rPr>
        <w:t xml:space="preserve"> der Mensch um die religiösen Dinge nicht nur wissen, sondern von ihnen Besitz ergreifen, oder besser: es </w:t>
      </w:r>
      <w:proofErr w:type="spellStart"/>
      <w:r>
        <w:rPr>
          <w:lang w:val="de-DE"/>
        </w:rPr>
        <w:t>muß</w:t>
      </w:r>
      <w:proofErr w:type="spellEnd"/>
      <w:r>
        <w:rPr>
          <w:lang w:val="de-DE"/>
        </w:rPr>
        <w:t xml:space="preserve"> von ihnen ergriffen sein“ (30) </w:t>
      </w:r>
    </w:p>
    <w:p w14:paraId="1F07C833" w14:textId="77777777" w:rsidR="00413C3A" w:rsidRDefault="00413C3A">
      <w:pPr>
        <w:rPr>
          <w:lang w:val="de-DE"/>
        </w:rPr>
      </w:pPr>
      <w:r>
        <w:rPr>
          <w:lang w:val="de-DE"/>
        </w:rPr>
        <w:t xml:space="preserve">„Bloßes Wissen, nur um zu wissen, ist darum für Bernhard </w:t>
      </w:r>
      <w:proofErr w:type="spellStart"/>
      <w:r>
        <w:rPr>
          <w:lang w:val="de-DE"/>
        </w:rPr>
        <w:t>Curiositas</w:t>
      </w:r>
      <w:proofErr w:type="spellEnd"/>
      <w:r>
        <w:rPr>
          <w:lang w:val="de-DE"/>
        </w:rPr>
        <w:t xml:space="preserve">, Neugier. Man kann die </w:t>
      </w:r>
      <w:proofErr w:type="spellStart"/>
      <w:r>
        <w:rPr>
          <w:lang w:val="de-DE"/>
        </w:rPr>
        <w:t>Curiositas</w:t>
      </w:r>
      <w:proofErr w:type="spellEnd"/>
      <w:r>
        <w:rPr>
          <w:lang w:val="de-DE"/>
        </w:rPr>
        <w:t xml:space="preserve"> am besten negativ bestimmen: sie ist überall vorhanden, wo der Mensch keine Sorge trägt, wie er innerlich aussieht“ (32) </w:t>
      </w:r>
    </w:p>
    <w:p w14:paraId="08981523" w14:textId="77777777" w:rsidR="004D2264" w:rsidRDefault="004D2264">
      <w:pPr>
        <w:rPr>
          <w:lang w:val="de-DE"/>
        </w:rPr>
      </w:pPr>
      <w:r>
        <w:rPr>
          <w:lang w:val="de-DE"/>
        </w:rPr>
        <w:t xml:space="preserve">„Auf </w:t>
      </w:r>
      <w:proofErr w:type="spellStart"/>
      <w:r>
        <w:rPr>
          <w:lang w:val="de-DE"/>
        </w:rPr>
        <w:t>seiten</w:t>
      </w:r>
      <w:proofErr w:type="spellEnd"/>
      <w:r>
        <w:rPr>
          <w:lang w:val="de-DE"/>
        </w:rPr>
        <w:t xml:space="preserve"> des Menschen wird die </w:t>
      </w:r>
      <w:proofErr w:type="spellStart"/>
      <w:r>
        <w:rPr>
          <w:lang w:val="de-DE"/>
        </w:rPr>
        <w:t>Conversio</w:t>
      </w:r>
      <w:proofErr w:type="spellEnd"/>
      <w:r>
        <w:rPr>
          <w:lang w:val="de-DE"/>
        </w:rPr>
        <w:t xml:space="preserve"> die notwendige Antwort sein. Diese ist der Prüfstein, ob die Gotteserkenntnis wirklich echt ist.“ (34) </w:t>
      </w:r>
    </w:p>
    <w:p w14:paraId="4D6F9391" w14:textId="77777777" w:rsidR="004D2264" w:rsidRDefault="004D2264">
      <w:pPr>
        <w:rPr>
          <w:lang w:val="de-DE"/>
        </w:rPr>
      </w:pPr>
      <w:r>
        <w:rPr>
          <w:lang w:val="de-DE"/>
        </w:rPr>
        <w:t xml:space="preserve">„Die Selbsterkenntnis kommt durch das Hören des Wortes Gottes zustande, schließt also von vornherein </w:t>
      </w:r>
      <w:proofErr w:type="spellStart"/>
      <w:r>
        <w:rPr>
          <w:lang w:val="de-DE"/>
        </w:rPr>
        <w:t>enie</w:t>
      </w:r>
      <w:proofErr w:type="spellEnd"/>
      <w:r>
        <w:rPr>
          <w:lang w:val="de-DE"/>
        </w:rPr>
        <w:t xml:space="preserve"> Relation in sich. […] Augustinus und Bernhard betonen beide die unlösliche </w:t>
      </w:r>
      <w:r>
        <w:rPr>
          <w:lang w:val="de-DE"/>
        </w:rPr>
        <w:lastRenderedPageBreak/>
        <w:t>Zweieinheit der Selbst- und Gotteserkenntnis, stellen aber die Selbsterkenntnis an die erste Stelle, weil erst dann, wenn der Mensch persönlich seiner eigenen inneren Unwahrheit und Sünde gewahr wird und darüber erschrickt, sich ihm ein wirklicher Zugang zu Gott öffnet.“ (37)</w:t>
      </w:r>
    </w:p>
    <w:p w14:paraId="4C7CEFD3" w14:textId="77777777" w:rsidR="004D2264" w:rsidRDefault="004D2264">
      <w:pPr>
        <w:rPr>
          <w:lang w:val="de-DE"/>
        </w:rPr>
      </w:pPr>
      <w:r>
        <w:rPr>
          <w:lang w:val="de-DE"/>
        </w:rPr>
        <w:t>„Mir liegt nicht so sehr daran, Worte zu erklären, als Herzen zu befruchten.“ ([</w:t>
      </w:r>
      <w:proofErr w:type="spellStart"/>
      <w:r>
        <w:rPr>
          <w:lang w:val="de-DE"/>
        </w:rPr>
        <w:t>S.i.c.c</w:t>
      </w:r>
      <w:proofErr w:type="spellEnd"/>
      <w:r>
        <w:rPr>
          <w:lang w:val="de-DE"/>
        </w:rPr>
        <w:t xml:space="preserve">. 16, 1] 43) </w:t>
      </w:r>
    </w:p>
    <w:p w14:paraId="70095CCC" w14:textId="77777777" w:rsidR="00874C6A" w:rsidRDefault="004D2264">
      <w:pPr>
        <w:rPr>
          <w:lang w:val="de-DE"/>
        </w:rPr>
      </w:pPr>
      <w:r>
        <w:rPr>
          <w:lang w:val="de-DE"/>
        </w:rPr>
        <w:t xml:space="preserve">„Das Brot nützt nichts, wenn es in der Lade aufbewahrt wird. Die beste Art der Verwahrung ist das Essen des Brotes, damit es seinen Zweck erfüllt. Und da das Wort Gottes auch ein lebendiges Brot und eine Speise des Geistes ist, </w:t>
      </w:r>
      <w:proofErr w:type="spellStart"/>
      <w:r>
        <w:rPr>
          <w:lang w:val="de-DE"/>
        </w:rPr>
        <w:t>muß</w:t>
      </w:r>
      <w:proofErr w:type="spellEnd"/>
      <w:r>
        <w:rPr>
          <w:lang w:val="de-DE"/>
        </w:rPr>
        <w:t xml:space="preserve"> es ebenso wie das Brot verwahrt werden: ‚also soll es in das Innerste deiner Seele hineinversenkt werden, soll deine Empfindungen und deine Handlungen durchdringen.‘ [</w:t>
      </w:r>
      <w:proofErr w:type="spellStart"/>
      <w:r>
        <w:rPr>
          <w:lang w:val="de-DE"/>
        </w:rPr>
        <w:t>S.i.c.c</w:t>
      </w:r>
      <w:proofErr w:type="spellEnd"/>
      <w:r>
        <w:rPr>
          <w:lang w:val="de-DE"/>
        </w:rPr>
        <w:t>. 8, 6]“ (47)</w:t>
      </w:r>
    </w:p>
    <w:p w14:paraId="3239F492" w14:textId="77777777" w:rsidR="004D2264" w:rsidRDefault="004D2264">
      <w:pPr>
        <w:rPr>
          <w:lang w:val="de-DE"/>
        </w:rPr>
      </w:pPr>
      <w:r>
        <w:rPr>
          <w:lang w:val="de-DE"/>
        </w:rPr>
        <w:t>„Es gibt ein Wissen</w:t>
      </w:r>
      <w:r w:rsidR="00874C6A">
        <w:rPr>
          <w:lang w:val="de-DE"/>
        </w:rPr>
        <w:t xml:space="preserve"> ohne Liebe; es verspricht mehr Einsicht und Fortschritt und ist ‚wie ein Wein, der toll und voll macht, der berauscht, aber nicht stark macht.‘“ (48)</w:t>
      </w:r>
    </w:p>
    <w:p w14:paraId="7468659E" w14:textId="77777777" w:rsidR="00874C6A" w:rsidRDefault="00874C6A">
      <w:pPr>
        <w:rPr>
          <w:lang w:val="de-DE"/>
        </w:rPr>
      </w:pPr>
      <w:r>
        <w:rPr>
          <w:lang w:val="de-DE"/>
        </w:rPr>
        <w:t>„Ein anderer Weg ist ihm aufgetragen: er soll fragen, was er tun soll! Er soll Erforscher des Willens Gottes, nicht der Majestät Gottes sein. […] Dazu führt aber nicht Gelehrsamkeit, sondern Einübung.“ (53)</w:t>
      </w:r>
    </w:p>
    <w:p w14:paraId="640F63C5" w14:textId="359E31E1" w:rsidR="00874C6A" w:rsidRDefault="00874C6A">
      <w:pPr>
        <w:rPr>
          <w:lang w:val="en-CA"/>
        </w:rPr>
      </w:pPr>
      <w:r w:rsidRPr="00874C6A">
        <w:rPr>
          <w:lang w:val="en-CA"/>
        </w:rPr>
        <w:t xml:space="preserve">„Non </w:t>
      </w:r>
      <w:proofErr w:type="spellStart"/>
      <w:r w:rsidRPr="00874C6A">
        <w:rPr>
          <w:lang w:val="en-CA"/>
        </w:rPr>
        <w:t>eruditio</w:t>
      </w:r>
      <w:proofErr w:type="spellEnd"/>
      <w:r w:rsidRPr="00874C6A">
        <w:rPr>
          <w:lang w:val="en-CA"/>
        </w:rPr>
        <w:t xml:space="preserve">, </w:t>
      </w:r>
      <w:proofErr w:type="spellStart"/>
      <w:r w:rsidRPr="00874C6A">
        <w:rPr>
          <w:lang w:val="en-CA"/>
        </w:rPr>
        <w:t>sed</w:t>
      </w:r>
      <w:proofErr w:type="spellEnd"/>
      <w:r w:rsidRPr="00874C6A">
        <w:rPr>
          <w:lang w:val="en-CA"/>
        </w:rPr>
        <w:t xml:space="preserve"> </w:t>
      </w:r>
      <w:proofErr w:type="spellStart"/>
      <w:r w:rsidRPr="00874C6A">
        <w:rPr>
          <w:lang w:val="en-CA"/>
        </w:rPr>
        <w:t>exercitatio</w:t>
      </w:r>
      <w:proofErr w:type="spellEnd"/>
      <w:r w:rsidRPr="00874C6A">
        <w:rPr>
          <w:lang w:val="en-CA"/>
        </w:rPr>
        <w:t xml:space="preserve"> (</w:t>
      </w:r>
      <w:proofErr w:type="spellStart"/>
      <w:r w:rsidRPr="00874C6A">
        <w:rPr>
          <w:lang w:val="en-CA"/>
        </w:rPr>
        <w:t>docet</w:t>
      </w:r>
      <w:proofErr w:type="spellEnd"/>
      <w:r w:rsidRPr="00874C6A">
        <w:rPr>
          <w:lang w:val="en-CA"/>
        </w:rPr>
        <w:t>)</w:t>
      </w:r>
      <w:r>
        <w:rPr>
          <w:lang w:val="en-CA"/>
        </w:rPr>
        <w:t>” (Ep. 108, 2)</w:t>
      </w:r>
    </w:p>
    <w:p w14:paraId="7E3B38D6" w14:textId="4256DEE1" w:rsidR="00874C6A" w:rsidRDefault="00874C6A">
      <w:pPr>
        <w:rPr>
          <w:lang w:val="de-DE"/>
        </w:rPr>
      </w:pPr>
      <w:r w:rsidRPr="00874C6A">
        <w:rPr>
          <w:lang w:val="de-DE"/>
        </w:rPr>
        <w:t>“Bernhards Theologie ist deshalb nicht eine Theologie</w:t>
      </w:r>
      <w:r>
        <w:rPr>
          <w:lang w:val="de-DE"/>
        </w:rPr>
        <w:t xml:space="preserve"> spekulativer Erkenntnis, sondern eine Theologie der Aneignung. Im Mittelpunkt seines theologischen Denkens stehen daher auch nicht die spekulativen Fragen der Trinität und der Christologie, sondern die beiden heilsgeschichtlichen Begriffe der </w:t>
      </w:r>
      <w:proofErr w:type="spellStart"/>
      <w:r>
        <w:rPr>
          <w:lang w:val="de-DE"/>
        </w:rPr>
        <w:t>veritas</w:t>
      </w:r>
      <w:proofErr w:type="spellEnd"/>
      <w:r>
        <w:rPr>
          <w:lang w:val="de-DE"/>
        </w:rPr>
        <w:t xml:space="preserve"> und </w:t>
      </w:r>
      <w:proofErr w:type="spellStart"/>
      <w:r>
        <w:rPr>
          <w:lang w:val="de-DE"/>
        </w:rPr>
        <w:t>misericordia</w:t>
      </w:r>
      <w:proofErr w:type="spellEnd"/>
      <w:r>
        <w:rPr>
          <w:lang w:val="de-DE"/>
        </w:rPr>
        <w:t xml:space="preserve"> </w:t>
      </w:r>
      <w:proofErr w:type="spellStart"/>
      <w:r>
        <w:rPr>
          <w:lang w:val="de-DE"/>
        </w:rPr>
        <w:t>Dei</w:t>
      </w:r>
      <w:proofErr w:type="spellEnd"/>
      <w:r>
        <w:rPr>
          <w:lang w:val="de-DE"/>
        </w:rPr>
        <w:t>.“ (55)</w:t>
      </w:r>
    </w:p>
    <w:p w14:paraId="19B146B7" w14:textId="1462B13B" w:rsidR="00874C6A" w:rsidRPr="00874C6A" w:rsidRDefault="00874C6A">
      <w:pPr>
        <w:rPr>
          <w:lang w:val="de-DE"/>
        </w:rPr>
      </w:pPr>
      <w:r>
        <w:rPr>
          <w:lang w:val="de-DE"/>
        </w:rPr>
        <w:t xml:space="preserve">„Bernhard sagt über </w:t>
      </w:r>
      <w:proofErr w:type="spellStart"/>
      <w:r>
        <w:rPr>
          <w:lang w:val="de-DE"/>
        </w:rPr>
        <w:t>Abaelard</w:t>
      </w:r>
      <w:proofErr w:type="spellEnd"/>
      <w:r>
        <w:rPr>
          <w:lang w:val="de-DE"/>
        </w:rPr>
        <w:t>: ‚Alles weiß er; alles, was im Himmel und auf Erden ist, ist ihm bekannt – nur er sich selbst nicht!‘ [</w:t>
      </w:r>
      <w:proofErr w:type="spellStart"/>
      <w:r>
        <w:rPr>
          <w:lang w:val="de-DE"/>
        </w:rPr>
        <w:t>Ep</w:t>
      </w:r>
      <w:proofErr w:type="spellEnd"/>
      <w:proofErr w:type="gramStart"/>
      <w:r>
        <w:rPr>
          <w:lang w:val="de-DE"/>
        </w:rPr>
        <w:t xml:space="preserve">. </w:t>
      </w:r>
      <w:proofErr w:type="gramEnd"/>
      <w:r>
        <w:rPr>
          <w:lang w:val="de-DE"/>
        </w:rPr>
        <w:t xml:space="preserve">193]“ (62) </w:t>
      </w:r>
    </w:p>
    <w:p w14:paraId="46E1E6C3" w14:textId="77777777" w:rsidR="00874C6A" w:rsidRPr="00874C6A" w:rsidRDefault="00874C6A">
      <w:pPr>
        <w:rPr>
          <w:lang w:val="de-DE"/>
        </w:rPr>
      </w:pPr>
    </w:p>
    <w:p w14:paraId="10EC45A1" w14:textId="1A1975DE" w:rsidR="00874C6A" w:rsidRPr="00874C6A" w:rsidRDefault="00874C6A">
      <w:pPr>
        <w:rPr>
          <w:lang w:val="en-CA"/>
        </w:rPr>
      </w:pPr>
      <w:r>
        <w:rPr>
          <w:lang w:val="en-CA"/>
        </w:rPr>
        <w:t xml:space="preserve">Non </w:t>
      </w:r>
      <w:proofErr w:type="spellStart"/>
      <w:r>
        <w:rPr>
          <w:lang w:val="en-CA"/>
        </w:rPr>
        <w:t>scientia</w:t>
      </w:r>
      <w:proofErr w:type="spellEnd"/>
      <w:r>
        <w:rPr>
          <w:lang w:val="en-CA"/>
        </w:rPr>
        <w:t xml:space="preserve">, </w:t>
      </w:r>
      <w:proofErr w:type="spellStart"/>
      <w:r>
        <w:rPr>
          <w:lang w:val="en-CA"/>
        </w:rPr>
        <w:t>sed</w:t>
      </w:r>
      <w:proofErr w:type="spellEnd"/>
      <w:r>
        <w:rPr>
          <w:lang w:val="en-CA"/>
        </w:rPr>
        <w:t xml:space="preserve"> </w:t>
      </w:r>
      <w:proofErr w:type="spellStart"/>
      <w:r>
        <w:rPr>
          <w:lang w:val="en-CA"/>
        </w:rPr>
        <w:t>conscientia</w:t>
      </w:r>
      <w:proofErr w:type="spellEnd"/>
      <w:r>
        <w:rPr>
          <w:lang w:val="en-CA"/>
        </w:rPr>
        <w:t xml:space="preserve"> </w:t>
      </w:r>
      <w:r w:rsidR="009B106F">
        <w:rPr>
          <w:lang w:val="en-CA"/>
        </w:rPr>
        <w:t>docet</w:t>
      </w:r>
      <w:bookmarkStart w:id="0" w:name="_GoBack"/>
      <w:bookmarkEnd w:id="0"/>
    </w:p>
    <w:sectPr w:rsidR="00874C6A" w:rsidRPr="00874C6A"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BEA"/>
    <w:rsid w:val="001231ED"/>
    <w:rsid w:val="00395CDE"/>
    <w:rsid w:val="00413C3A"/>
    <w:rsid w:val="004D2264"/>
    <w:rsid w:val="00507BEA"/>
    <w:rsid w:val="0055526E"/>
    <w:rsid w:val="00635244"/>
    <w:rsid w:val="006E0AF6"/>
    <w:rsid w:val="00702CAF"/>
    <w:rsid w:val="00874C6A"/>
    <w:rsid w:val="009B106F"/>
    <w:rsid w:val="00FE14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F9E11BB"/>
  <w14:defaultImageDpi w14:val="32767"/>
  <w15:chartTrackingRefBased/>
  <w15:docId w15:val="{D9D70260-0F46-1D45-988F-DB496667F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742</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2019-04-23T00:10:00Z</dcterms:created>
  <dcterms:modified xsi:type="dcterms:W3CDTF">2019-04-24T12:37:00Z</dcterms:modified>
</cp:coreProperties>
</file>