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5F93" w:rsidRPr="00614013" w:rsidRDefault="00025F93" w:rsidP="00025F93">
      <w:pPr>
        <w:rPr>
          <w:b/>
          <w:lang w:val="de-DE"/>
        </w:rPr>
      </w:pPr>
      <w:r w:rsidRPr="00614013">
        <w:rPr>
          <w:b/>
          <w:lang w:val="de-DE"/>
        </w:rPr>
        <w:t xml:space="preserve">Karl </w:t>
      </w:r>
      <w:proofErr w:type="spellStart"/>
      <w:r w:rsidRPr="00614013">
        <w:rPr>
          <w:b/>
          <w:lang w:val="de-DE"/>
        </w:rPr>
        <w:t>Ker</w:t>
      </w:r>
      <w:r w:rsidRPr="00614013">
        <w:rPr>
          <w:rFonts w:ascii="Calibri" w:hAnsi="Calibri" w:cs="Calibri"/>
          <w:b/>
          <w:lang w:val="de-DE"/>
        </w:rPr>
        <w:t>é</w:t>
      </w:r>
      <w:r w:rsidRPr="00614013">
        <w:rPr>
          <w:b/>
          <w:lang w:val="de-DE"/>
        </w:rPr>
        <w:t>nyi</w:t>
      </w:r>
      <w:proofErr w:type="spellEnd"/>
      <w:r w:rsidRPr="00614013">
        <w:rPr>
          <w:b/>
          <w:lang w:val="de-DE"/>
        </w:rPr>
        <w:t xml:space="preserve">: </w:t>
      </w:r>
      <w:r>
        <w:rPr>
          <w:b/>
          <w:lang w:val="de-DE"/>
        </w:rPr>
        <w:t>Höhepunkte der griechischen und römischen religiösen Erfahrung. In</w:t>
      </w:r>
      <w:r w:rsidRPr="00614013">
        <w:rPr>
          <w:b/>
          <w:lang w:val="de-DE"/>
        </w:rPr>
        <w:t xml:space="preserve">: </w:t>
      </w:r>
      <w:proofErr w:type="spellStart"/>
      <w:r w:rsidRPr="00614013">
        <w:rPr>
          <w:b/>
          <w:lang w:val="de-DE"/>
        </w:rPr>
        <w:t>ders</w:t>
      </w:r>
      <w:proofErr w:type="spellEnd"/>
      <w:r w:rsidRPr="00614013">
        <w:rPr>
          <w:b/>
          <w:lang w:val="de-DE"/>
        </w:rPr>
        <w:t xml:space="preserve">.: Antike Religion. München, Wien: Langen Müller, 1971, </w:t>
      </w:r>
      <w:r>
        <w:rPr>
          <w:b/>
          <w:lang w:val="de-DE"/>
        </w:rPr>
        <w:t>97-123</w:t>
      </w:r>
      <w:r w:rsidRPr="00614013">
        <w:rPr>
          <w:b/>
          <w:lang w:val="de-DE"/>
        </w:rPr>
        <w:t>.</w:t>
      </w:r>
    </w:p>
    <w:p w:rsidR="006A41F3" w:rsidRDefault="001C65D7">
      <w:pPr>
        <w:rPr>
          <w:lang w:val="de-DE"/>
        </w:rPr>
      </w:pPr>
    </w:p>
    <w:p w:rsidR="00025F93" w:rsidRDefault="00A11BB0">
      <w:pPr>
        <w:rPr>
          <w:lang w:val="de-DE"/>
        </w:rPr>
      </w:pPr>
      <w:r>
        <w:rPr>
          <w:lang w:val="de-DE"/>
        </w:rPr>
        <w:t xml:space="preserve">„Auf Grund dieser griechischen Erfahrung suchte Sokrates das Motiv der moralischen Entscheidung nicht im Willen, sondern im Wissen. Und innerhalb der Grenzen griechischen Stils bleibt auch Aristoteles, wenn er dieses Wissen als eine besondere Art der Erkenntnis in seinem moralischen Wert völlig anerkennt. Wissen bedeutet selbstverständlich: danach handeln. Solch eine Macht hat das </w:t>
      </w:r>
      <w:proofErr w:type="spellStart"/>
      <w:r>
        <w:rPr>
          <w:lang w:val="de-DE"/>
        </w:rPr>
        <w:t>Gewußte</w:t>
      </w:r>
      <w:proofErr w:type="spellEnd"/>
      <w:r>
        <w:rPr>
          <w:lang w:val="de-DE"/>
        </w:rPr>
        <w:t>.</w:t>
      </w:r>
    </w:p>
    <w:p w:rsidR="00A11BB0" w:rsidRDefault="00A11BB0">
      <w:pPr>
        <w:rPr>
          <w:lang w:val="de-DE"/>
        </w:rPr>
      </w:pPr>
      <w:r>
        <w:rPr>
          <w:lang w:val="de-DE"/>
        </w:rPr>
        <w:t xml:space="preserve">Wir stehen hier nicht einer Einseitigkeit gegenüber – einem „Intellektualismus“ –, sondern dem umfassenden, keiner Ergänzung bedürfenden </w:t>
      </w:r>
      <w:r w:rsidRPr="008E19C2">
        <w:rPr>
          <w:i/>
          <w:lang w:val="de-DE"/>
        </w:rPr>
        <w:t>Grundphänomen der griechischen Existenz</w:t>
      </w:r>
      <w:r>
        <w:rPr>
          <w:lang w:val="de-DE"/>
        </w:rPr>
        <w:t>. Es ist – bildlich gesprochen – rund und ganz, wie das Sein für Parmenides. Das Erkannte und das Verstandene, das Geschaut-</w:t>
      </w:r>
      <w:proofErr w:type="spellStart"/>
      <w:r>
        <w:rPr>
          <w:lang w:val="de-DE"/>
        </w:rPr>
        <w:t>Gewußte</w:t>
      </w:r>
      <w:proofErr w:type="spellEnd"/>
      <w:r>
        <w:rPr>
          <w:lang w:val="de-DE"/>
        </w:rPr>
        <w:t xml:space="preserve">, ist eine wirksame Macht. Sie </w:t>
      </w:r>
      <w:r w:rsidR="008E19C2">
        <w:rPr>
          <w:lang w:val="de-DE"/>
        </w:rPr>
        <w:t xml:space="preserve">vermag die Grundlage von genuinen religiösen Erfahrungen und lebenswarmen Willensakten zu bilden. Daher bestimmen die Griechen selbst, wenn sie darüber, bereits von einer gewissen Distanz aus, Reflexionen anstellen, ihre Frömmigkeit als </w:t>
      </w:r>
      <w:proofErr w:type="spellStart"/>
      <w:r w:rsidR="008E19C2" w:rsidRPr="008E19C2">
        <w:rPr>
          <w:i/>
          <w:lang w:val="de-DE"/>
        </w:rPr>
        <w:t>epist</w:t>
      </w:r>
      <w:r w:rsidR="008E19C2" w:rsidRPr="008E19C2">
        <w:rPr>
          <w:rFonts w:ascii="Calibri" w:hAnsi="Calibri" w:cs="Calibri"/>
          <w:i/>
          <w:lang w:val="de-DE"/>
        </w:rPr>
        <w:t>é</w:t>
      </w:r>
      <w:r w:rsidR="008E19C2" w:rsidRPr="008E19C2">
        <w:rPr>
          <w:i/>
          <w:lang w:val="de-DE"/>
        </w:rPr>
        <w:t>me</w:t>
      </w:r>
      <w:proofErr w:type="spellEnd"/>
      <w:r w:rsidR="008E19C2">
        <w:rPr>
          <w:lang w:val="de-DE"/>
        </w:rPr>
        <w:t>, als Wissenschaft.“ (104)</w:t>
      </w:r>
    </w:p>
    <w:p w:rsidR="00D33609" w:rsidRDefault="00D33609">
      <w:pPr>
        <w:rPr>
          <w:lang w:val="de-DE"/>
        </w:rPr>
      </w:pPr>
      <w:r>
        <w:rPr>
          <w:lang w:val="de-DE"/>
        </w:rPr>
        <w:t>„Und schließlich übt dieses göttliche Wissen, wie vorher gesagt wurde, ohne eigentliche Aktivität und ohne</w:t>
      </w:r>
      <w:bookmarkStart w:id="0" w:name="_GoBack"/>
      <w:bookmarkEnd w:id="0"/>
      <w:r>
        <w:rPr>
          <w:lang w:val="de-DE"/>
        </w:rPr>
        <w:t xml:space="preserve"> einen besonderen Willensakt Wirksamkeit aus, hat Macht dazu und sieht den Erfolg, ja, </w:t>
      </w:r>
      <w:proofErr w:type="spellStart"/>
      <w:r w:rsidRPr="00D33609">
        <w:rPr>
          <w:i/>
          <w:lang w:val="de-DE"/>
        </w:rPr>
        <w:t>noe</w:t>
      </w:r>
      <w:r w:rsidRPr="00D33609">
        <w:rPr>
          <w:rFonts w:ascii="Calibri" w:hAnsi="Calibri" w:cs="Calibri"/>
          <w:i/>
          <w:lang w:val="de-DE"/>
        </w:rPr>
        <w:t>î</w:t>
      </w:r>
      <w:r w:rsidRPr="00D33609">
        <w:rPr>
          <w:i/>
          <w:lang w:val="de-DE"/>
        </w:rPr>
        <w:t>n</w:t>
      </w:r>
      <w:proofErr w:type="spellEnd"/>
      <w:r>
        <w:rPr>
          <w:lang w:val="de-DE"/>
        </w:rPr>
        <w:t xml:space="preserve"> bedeutet an sich schon eine Einsicht, die sich in einer Tat </w:t>
      </w:r>
      <w:r w:rsidRPr="00D33609">
        <w:rPr>
          <w:i/>
          <w:lang w:val="de-DE"/>
        </w:rPr>
        <w:t>unmittelbar</w:t>
      </w:r>
      <w:r>
        <w:rPr>
          <w:lang w:val="de-DE"/>
        </w:rPr>
        <w:t xml:space="preserve"> verwirklicht. Das Moment des Willens kann dabei völlig unberücksichtigt bleiben.“ (106) </w:t>
      </w:r>
    </w:p>
    <w:p w:rsidR="00D33609" w:rsidRDefault="00D33609">
      <w:pPr>
        <w:rPr>
          <w:lang w:val="de-DE"/>
        </w:rPr>
      </w:pPr>
      <w:r>
        <w:rPr>
          <w:lang w:val="de-DE"/>
        </w:rPr>
        <w:t xml:space="preserve">„Im griechischen Sinn ist das Dasein: Schauen und Geschaut-Werden, ist: Wissen und </w:t>
      </w:r>
      <w:proofErr w:type="spellStart"/>
      <w:r>
        <w:rPr>
          <w:lang w:val="de-DE"/>
        </w:rPr>
        <w:t>Gewußt</w:t>
      </w:r>
      <w:proofErr w:type="spellEnd"/>
      <w:r>
        <w:rPr>
          <w:lang w:val="de-DE"/>
        </w:rPr>
        <w:t xml:space="preserve">-Werden, das Sein ist auch </w:t>
      </w:r>
      <w:proofErr w:type="spellStart"/>
      <w:r>
        <w:rPr>
          <w:lang w:val="de-DE"/>
        </w:rPr>
        <w:t>Gewußt</w:t>
      </w:r>
      <w:proofErr w:type="spellEnd"/>
      <w:proofErr w:type="gramStart"/>
      <w:r>
        <w:rPr>
          <w:lang w:val="de-DE"/>
        </w:rPr>
        <w:t>-[</w:t>
      </w:r>
      <w:proofErr w:type="gramEnd"/>
      <w:r>
        <w:rPr>
          <w:lang w:val="de-DE"/>
        </w:rPr>
        <w:t xml:space="preserve">108]Sein. Das </w:t>
      </w:r>
      <w:proofErr w:type="spellStart"/>
      <w:r w:rsidRPr="00D33609">
        <w:rPr>
          <w:i/>
          <w:lang w:val="de-DE"/>
        </w:rPr>
        <w:t>noe</w:t>
      </w:r>
      <w:r w:rsidRPr="00D33609">
        <w:rPr>
          <w:rFonts w:ascii="Calibri" w:hAnsi="Calibri" w:cs="Calibri"/>
          <w:i/>
          <w:lang w:val="de-DE"/>
        </w:rPr>
        <w:t>î</w:t>
      </w:r>
      <w:r w:rsidRPr="00D33609">
        <w:rPr>
          <w:i/>
          <w:lang w:val="de-DE"/>
        </w:rPr>
        <w:t>n</w:t>
      </w:r>
      <w:proofErr w:type="spellEnd"/>
      <w:r>
        <w:rPr>
          <w:i/>
          <w:lang w:val="de-DE"/>
        </w:rPr>
        <w:t xml:space="preserve"> </w:t>
      </w:r>
      <w:r>
        <w:rPr>
          <w:lang w:val="de-DE"/>
        </w:rPr>
        <w:t xml:space="preserve">verwirklicht jene passive Möglichkeit des Seins, </w:t>
      </w:r>
      <w:proofErr w:type="spellStart"/>
      <w:r>
        <w:rPr>
          <w:lang w:val="de-DE"/>
        </w:rPr>
        <w:t>daß</w:t>
      </w:r>
      <w:proofErr w:type="spellEnd"/>
      <w:r>
        <w:rPr>
          <w:lang w:val="de-DE"/>
        </w:rPr>
        <w:t xml:space="preserve"> es </w:t>
      </w:r>
      <w:proofErr w:type="spellStart"/>
      <w:r>
        <w:rPr>
          <w:lang w:val="de-DE"/>
        </w:rPr>
        <w:t>gewußt</w:t>
      </w:r>
      <w:proofErr w:type="spellEnd"/>
      <w:r>
        <w:rPr>
          <w:lang w:val="de-DE"/>
        </w:rPr>
        <w:t xml:space="preserve"> werden kann. […] In solcher Existenz und Sprache darf der Philosoph noch weiter gehen und sagen: „Denn Eines und Dasselbe ist </w:t>
      </w:r>
      <w:proofErr w:type="spellStart"/>
      <w:r w:rsidRPr="00D33609">
        <w:rPr>
          <w:i/>
          <w:lang w:val="de-DE"/>
        </w:rPr>
        <w:t>noe</w:t>
      </w:r>
      <w:r w:rsidRPr="00D33609">
        <w:rPr>
          <w:rFonts w:ascii="Calibri" w:hAnsi="Calibri" w:cs="Calibri"/>
          <w:i/>
          <w:lang w:val="de-DE"/>
        </w:rPr>
        <w:t>î</w:t>
      </w:r>
      <w:r w:rsidRPr="00D33609">
        <w:rPr>
          <w:i/>
          <w:lang w:val="de-DE"/>
        </w:rPr>
        <w:t>n</w:t>
      </w:r>
      <w:proofErr w:type="spellEnd"/>
      <w:r>
        <w:rPr>
          <w:i/>
          <w:lang w:val="de-DE"/>
        </w:rPr>
        <w:t xml:space="preserve"> </w:t>
      </w:r>
      <w:r>
        <w:rPr>
          <w:lang w:val="de-DE"/>
        </w:rPr>
        <w:t>und sein.“ [</w:t>
      </w:r>
      <w:proofErr w:type="spellStart"/>
      <w:r>
        <w:rPr>
          <w:lang w:val="de-DE"/>
        </w:rPr>
        <w:t>Parm</w:t>
      </w:r>
      <w:proofErr w:type="spellEnd"/>
      <w:r>
        <w:rPr>
          <w:lang w:val="de-DE"/>
        </w:rPr>
        <w:t>. fr. 6 Diels]“ (</w:t>
      </w:r>
      <w:r w:rsidR="00C97B04">
        <w:rPr>
          <w:lang w:val="de-DE"/>
        </w:rPr>
        <w:t>107-108)</w:t>
      </w:r>
    </w:p>
    <w:p w:rsidR="001D7ADA" w:rsidRDefault="001D7ADA" w:rsidP="0014239B">
      <w:pPr>
        <w:rPr>
          <w:lang w:val="de-DE"/>
        </w:rPr>
      </w:pPr>
      <w:r>
        <w:rPr>
          <w:lang w:val="de-DE"/>
        </w:rPr>
        <w:t xml:space="preserve">„Der Standpunkt des Zuschauers ist für die Griechen an sich schon göttlich. Ihn einzunehmen bedeutet für sie die göttliche Erfüllung des Daseins. Ihre Philosophen trachten danach und hoffen, diese Erfüllung erreichen zu können. Der Grund ihrer Hoffnung liegt in der Art der griechischen religiösen Erfahrung. Diese war vornehmlich und ihrem Wesen </w:t>
      </w:r>
      <w:proofErr w:type="gramStart"/>
      <w:r>
        <w:rPr>
          <w:lang w:val="de-DE"/>
        </w:rPr>
        <w:t>nach visuelle Erfahrung</w:t>
      </w:r>
      <w:proofErr w:type="gramEnd"/>
      <w:r>
        <w:rPr>
          <w:lang w:val="de-DE"/>
        </w:rPr>
        <w:t xml:space="preserve">. Sie hat nur scheinbar zwei Höhepunkte. Der eine wäre, die Götter von Angesicht zu Angesicht zu sehen. Wenn sich eine solche Schau ereignete, wäre das griechische Wort </w:t>
      </w:r>
      <w:proofErr w:type="spellStart"/>
      <w:r w:rsidRPr="00321866">
        <w:rPr>
          <w:i/>
          <w:lang w:val="de-DE"/>
        </w:rPr>
        <w:t>theós</w:t>
      </w:r>
      <w:proofErr w:type="spellEnd"/>
      <w:r>
        <w:rPr>
          <w:lang w:val="de-DE"/>
        </w:rPr>
        <w:t xml:space="preserve"> in seinem sprachgerechten prädikativen Sinn, dem im Lateinischen </w:t>
      </w:r>
      <w:proofErr w:type="spellStart"/>
      <w:r w:rsidRPr="00321866">
        <w:rPr>
          <w:i/>
          <w:lang w:val="de-DE"/>
        </w:rPr>
        <w:t>ecce</w:t>
      </w:r>
      <w:proofErr w:type="spellEnd"/>
      <w:r w:rsidRPr="00321866">
        <w:rPr>
          <w:i/>
          <w:lang w:val="de-DE"/>
        </w:rPr>
        <w:t xml:space="preserve"> </w:t>
      </w:r>
      <w:proofErr w:type="spellStart"/>
      <w:r w:rsidRPr="00321866">
        <w:rPr>
          <w:i/>
          <w:lang w:val="de-DE"/>
        </w:rPr>
        <w:t>deu</w:t>
      </w:r>
      <w:r w:rsidRPr="0014239B">
        <w:rPr>
          <w:lang w:val="de-DE"/>
        </w:rPr>
        <w:t>s</w:t>
      </w:r>
      <w:proofErr w:type="spellEnd"/>
      <w:r>
        <w:rPr>
          <w:lang w:val="de-DE"/>
        </w:rPr>
        <w:t xml:space="preserve"> entspräche, auszusprechen: so ganz in seinem </w:t>
      </w:r>
      <w:r w:rsidRPr="0014239B">
        <w:rPr>
          <w:lang w:val="de-DE"/>
        </w:rPr>
        <w:t>griechischen</w:t>
      </w:r>
      <w:r>
        <w:rPr>
          <w:lang w:val="de-DE"/>
        </w:rPr>
        <w:t xml:space="preserve"> Sinn, so wenig übertragen auf etwas, was nicht völlig </w:t>
      </w:r>
      <w:proofErr w:type="spellStart"/>
      <w:r w:rsidRPr="00321866">
        <w:rPr>
          <w:i/>
          <w:lang w:val="de-DE"/>
        </w:rPr>
        <w:t>theós</w:t>
      </w:r>
      <w:proofErr w:type="spellEnd"/>
      <w:r>
        <w:rPr>
          <w:lang w:val="de-DE"/>
        </w:rPr>
        <w:t xml:space="preserve"> ist, wie in keinem anderen Fall. Der andere Höhepunkt wäre: sehen wie die Götter. Wem eine solche Schau geschehen würde, der dürfte mit demselben Recht ausrufen: </w:t>
      </w:r>
      <w:proofErr w:type="spellStart"/>
      <w:r w:rsidRPr="00321866">
        <w:rPr>
          <w:i/>
          <w:lang w:val="de-DE"/>
        </w:rPr>
        <w:t>theós</w:t>
      </w:r>
      <w:proofErr w:type="spellEnd"/>
      <w:r w:rsidRPr="00321866">
        <w:rPr>
          <w:i/>
          <w:lang w:val="de-DE"/>
        </w:rPr>
        <w:t>!</w:t>
      </w:r>
      <w:r>
        <w:rPr>
          <w:lang w:val="de-DE"/>
        </w:rPr>
        <w:t xml:space="preserve"> […] Die Philosophie entlehnte zur Bezeichnung des Höhepunktes, der auf ihrer Seite liegt, ein Wort von der anderen Seite, wo es etwas Bekanntes und Konkretes bezeichnete. Es ist das Wort </w:t>
      </w:r>
      <w:proofErr w:type="spellStart"/>
      <w:r w:rsidRPr="00321866">
        <w:rPr>
          <w:i/>
          <w:lang w:val="de-DE"/>
        </w:rPr>
        <w:t>theorîa</w:t>
      </w:r>
      <w:proofErr w:type="spellEnd"/>
      <w:r>
        <w:rPr>
          <w:lang w:val="de-DE"/>
        </w:rPr>
        <w:t>. So hießen die bekannten Höhepunkte im religiösen Leben der Griechen.“ (109)</w:t>
      </w:r>
    </w:p>
    <w:p w:rsidR="001D7ADA" w:rsidRDefault="001D7ADA" w:rsidP="0014239B">
      <w:pPr>
        <w:rPr>
          <w:lang w:val="de-DE"/>
        </w:rPr>
      </w:pPr>
      <w:r>
        <w:rPr>
          <w:lang w:val="de-DE"/>
        </w:rPr>
        <w:t xml:space="preserve">„Dem Griechen tönte aus </w:t>
      </w:r>
      <w:proofErr w:type="spellStart"/>
      <w:r w:rsidRPr="00321866">
        <w:rPr>
          <w:i/>
          <w:lang w:val="de-DE"/>
        </w:rPr>
        <w:t>theorîa</w:t>
      </w:r>
      <w:proofErr w:type="spellEnd"/>
      <w:r w:rsidRPr="0014239B">
        <w:rPr>
          <w:lang w:val="de-DE"/>
        </w:rPr>
        <w:t xml:space="preserve"> </w:t>
      </w:r>
      <w:r>
        <w:rPr>
          <w:lang w:val="de-DE"/>
        </w:rPr>
        <w:t xml:space="preserve">das Schauen doppelt entgegen: als </w:t>
      </w:r>
      <w:proofErr w:type="spellStart"/>
      <w:r w:rsidRPr="00321866">
        <w:rPr>
          <w:i/>
          <w:lang w:val="de-DE"/>
        </w:rPr>
        <w:t>théa</w:t>
      </w:r>
      <w:proofErr w:type="spellEnd"/>
      <w:r>
        <w:rPr>
          <w:lang w:val="de-DE"/>
        </w:rPr>
        <w:t>, „Schau“</w:t>
      </w:r>
      <w:r w:rsidR="0014239B">
        <w:rPr>
          <w:lang w:val="de-DE"/>
        </w:rPr>
        <w:t xml:space="preserve">, und als </w:t>
      </w:r>
      <w:proofErr w:type="spellStart"/>
      <w:r w:rsidR="0014239B" w:rsidRPr="00321866">
        <w:rPr>
          <w:i/>
          <w:lang w:val="de-DE"/>
        </w:rPr>
        <w:t>horâ</w:t>
      </w:r>
      <w:r w:rsidRPr="00321866">
        <w:rPr>
          <w:i/>
          <w:lang w:val="de-DE"/>
        </w:rPr>
        <w:t>n</w:t>
      </w:r>
      <w:proofErr w:type="spellEnd"/>
      <w:r>
        <w:rPr>
          <w:lang w:val="de-DE"/>
        </w:rPr>
        <w:t>, „</w:t>
      </w:r>
      <w:r w:rsidRPr="00321866">
        <w:rPr>
          <w:i/>
          <w:lang w:val="de-DE"/>
        </w:rPr>
        <w:t>sehen</w:t>
      </w:r>
      <w:r>
        <w:rPr>
          <w:lang w:val="de-DE"/>
        </w:rPr>
        <w:t xml:space="preserve">“, den zwei Elementen, aus denen das Wort zusammengesetzt ist. Es ist der Ausdruck einer religiösen Schaulustigkeit, die den Griechen auf eine ganz ausgeprägte Weise eigen war.“ (109) </w:t>
      </w:r>
    </w:p>
    <w:p w:rsidR="00321866" w:rsidRDefault="00321866" w:rsidP="0014239B">
      <w:pPr>
        <w:rPr>
          <w:lang w:val="de-DE"/>
        </w:rPr>
      </w:pPr>
      <w:r>
        <w:rPr>
          <w:lang w:val="de-DE"/>
        </w:rPr>
        <w:t xml:space="preserve">„Wenn aber Aristoteles diese Möglichkeit des philosophischen Lebens genauer umschreiben will, steht ihm nur zweierlei zur Verfügung: ein negativer und ein positiver Vergleich. Ein negativer Vergleich ist, wenn er den </w:t>
      </w:r>
      <w:proofErr w:type="spellStart"/>
      <w:r w:rsidRPr="00321866">
        <w:rPr>
          <w:i/>
          <w:lang w:val="de-DE"/>
        </w:rPr>
        <w:t>b</w:t>
      </w:r>
      <w:r w:rsidRPr="00321866">
        <w:rPr>
          <w:rFonts w:ascii="Calibri" w:hAnsi="Calibri" w:cs="Calibri"/>
          <w:i/>
          <w:lang w:val="de-DE"/>
        </w:rPr>
        <w:t>í</w:t>
      </w:r>
      <w:r w:rsidRPr="00321866">
        <w:rPr>
          <w:i/>
          <w:lang w:val="de-DE"/>
        </w:rPr>
        <w:t>os</w:t>
      </w:r>
      <w:proofErr w:type="spellEnd"/>
      <w:r w:rsidRPr="00321866">
        <w:rPr>
          <w:i/>
          <w:lang w:val="de-DE"/>
        </w:rPr>
        <w:t xml:space="preserve"> </w:t>
      </w:r>
      <w:proofErr w:type="spellStart"/>
      <w:r w:rsidRPr="00321866">
        <w:rPr>
          <w:i/>
          <w:lang w:val="de-DE"/>
        </w:rPr>
        <w:t>theoretikós</w:t>
      </w:r>
      <w:proofErr w:type="spellEnd"/>
      <w:r>
        <w:rPr>
          <w:lang w:val="de-DE"/>
        </w:rPr>
        <w:t xml:space="preserve"> dem </w:t>
      </w:r>
      <w:proofErr w:type="spellStart"/>
      <w:r w:rsidRPr="00321866">
        <w:rPr>
          <w:i/>
          <w:lang w:val="de-DE"/>
        </w:rPr>
        <w:t>b</w:t>
      </w:r>
      <w:r w:rsidRPr="00321866">
        <w:rPr>
          <w:rFonts w:ascii="Calibri" w:hAnsi="Calibri" w:cs="Calibri"/>
          <w:i/>
          <w:lang w:val="de-DE"/>
        </w:rPr>
        <w:t>í</w:t>
      </w:r>
      <w:r w:rsidRPr="00321866">
        <w:rPr>
          <w:i/>
          <w:lang w:val="de-DE"/>
        </w:rPr>
        <w:t>os</w:t>
      </w:r>
      <w:proofErr w:type="spellEnd"/>
      <w:r w:rsidRPr="00321866">
        <w:rPr>
          <w:i/>
          <w:lang w:val="de-DE"/>
        </w:rPr>
        <w:t xml:space="preserve"> </w:t>
      </w:r>
      <w:proofErr w:type="spellStart"/>
      <w:r w:rsidRPr="00321866">
        <w:rPr>
          <w:i/>
          <w:lang w:val="de-DE"/>
        </w:rPr>
        <w:t>praktikós</w:t>
      </w:r>
      <w:proofErr w:type="spellEnd"/>
      <w:r>
        <w:rPr>
          <w:lang w:val="de-DE"/>
        </w:rPr>
        <w:t xml:space="preserve">, der durch Nützlichkeit </w:t>
      </w:r>
      <w:r>
        <w:rPr>
          <w:lang w:val="de-DE"/>
        </w:rPr>
        <w:lastRenderedPageBreak/>
        <w:t xml:space="preserve">bestimmten Form des Lebens gegenüberstellt. Auf einer glücklichen Insel, wo wir nichts anderes zu tun brauchten, würde uns doch dieses Gute </w:t>
      </w:r>
      <w:proofErr w:type="gramStart"/>
      <w:r>
        <w:rPr>
          <w:lang w:val="de-DE"/>
        </w:rPr>
        <w:t>übrig bleiben</w:t>
      </w:r>
      <w:proofErr w:type="gramEnd"/>
      <w:r>
        <w:rPr>
          <w:lang w:val="de-DE"/>
        </w:rPr>
        <w:t xml:space="preserve">: die </w:t>
      </w:r>
      <w:proofErr w:type="spellStart"/>
      <w:r w:rsidRPr="00321866">
        <w:rPr>
          <w:i/>
          <w:lang w:val="de-DE"/>
        </w:rPr>
        <w:t>theorîa</w:t>
      </w:r>
      <w:proofErr w:type="spellEnd"/>
      <w:r>
        <w:rPr>
          <w:lang w:val="de-DE"/>
        </w:rPr>
        <w:t xml:space="preserve">. Nützlich ist die </w:t>
      </w:r>
      <w:proofErr w:type="spellStart"/>
      <w:r w:rsidRPr="00321866">
        <w:rPr>
          <w:i/>
          <w:lang w:val="de-DE"/>
        </w:rPr>
        <w:t>prâxis</w:t>
      </w:r>
      <w:proofErr w:type="spellEnd"/>
      <w:r>
        <w:rPr>
          <w:lang w:val="de-DE"/>
        </w:rPr>
        <w:t xml:space="preserve">, gut die </w:t>
      </w:r>
      <w:proofErr w:type="spellStart"/>
      <w:r w:rsidRPr="00321866">
        <w:rPr>
          <w:i/>
          <w:lang w:val="de-DE"/>
        </w:rPr>
        <w:t>theorîa</w:t>
      </w:r>
      <w:proofErr w:type="spellEnd"/>
      <w:r>
        <w:rPr>
          <w:lang w:val="de-DE"/>
        </w:rPr>
        <w:t>. Ein jeder empfindet darin den Gegensatz des Alltäglichen und des Festlichen. Positiv ist der Vergleich mit der festlichen Schau in Olympia oder im Theater.</w:t>
      </w:r>
    </w:p>
    <w:p w:rsidR="00321866" w:rsidRDefault="00321866" w:rsidP="0014239B">
      <w:pPr>
        <w:rPr>
          <w:lang w:val="de-DE"/>
        </w:rPr>
      </w:pPr>
      <w:proofErr w:type="spellStart"/>
      <w:r>
        <w:rPr>
          <w:lang w:val="de-DE"/>
        </w:rPr>
        <w:t>Daß</w:t>
      </w:r>
      <w:proofErr w:type="spellEnd"/>
      <w:r>
        <w:rPr>
          <w:lang w:val="de-DE"/>
        </w:rPr>
        <w:t xml:space="preserve"> auch in der Schau der großen hellenischen und der athenischen Feste etwas Göttliches liegt, sagt Aristoteles nicht. Für ihn [112] war die Möglichkeit dieses Vergleichs, die ein Nichtgrieche kaum erkannt hätte, das Natürlichste.“ (111-112)</w:t>
      </w:r>
    </w:p>
    <w:p w:rsidR="00321866" w:rsidRPr="001D7ADA" w:rsidRDefault="00321866" w:rsidP="0014239B">
      <w:pPr>
        <w:rPr>
          <w:lang w:val="de-DE"/>
        </w:rPr>
      </w:pPr>
      <w:r>
        <w:rPr>
          <w:lang w:val="de-DE"/>
        </w:rPr>
        <w:t xml:space="preserve">„Wenn wir den Stil der griechischen Religion von dem Gesichtspunkt der darin herrschenden Erfahrung aus charakterisieren wollen, so dürfen wir sie </w:t>
      </w:r>
      <w:r w:rsidRPr="00321866">
        <w:rPr>
          <w:i/>
          <w:lang w:val="de-DE"/>
        </w:rPr>
        <w:t>die Religion der Schau</w:t>
      </w:r>
      <w:r>
        <w:rPr>
          <w:lang w:val="de-DE"/>
        </w:rPr>
        <w:t xml:space="preserve"> nennen.“ (112)</w:t>
      </w:r>
    </w:p>
    <w:sectPr w:rsidR="00321866" w:rsidRPr="001D7ADA"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F93"/>
    <w:rsid w:val="00025F93"/>
    <w:rsid w:val="001231ED"/>
    <w:rsid w:val="0014239B"/>
    <w:rsid w:val="001C65D7"/>
    <w:rsid w:val="001D7ADA"/>
    <w:rsid w:val="00321866"/>
    <w:rsid w:val="00395CDE"/>
    <w:rsid w:val="0055526E"/>
    <w:rsid w:val="00635244"/>
    <w:rsid w:val="006E0AF6"/>
    <w:rsid w:val="008E19C2"/>
    <w:rsid w:val="00A11BB0"/>
    <w:rsid w:val="00C73104"/>
    <w:rsid w:val="00C97B04"/>
    <w:rsid w:val="00D336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B89AB6"/>
  <w14:defaultImageDpi w14:val="32767"/>
  <w15:chartTrackingRefBased/>
  <w15:docId w15:val="{264FBBAB-6CE0-6845-A7AA-ED19A11A3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25F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661</Words>
  <Characters>3771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6</cp:revision>
  <dcterms:created xsi:type="dcterms:W3CDTF">2018-09-07T16:34:00Z</dcterms:created>
  <dcterms:modified xsi:type="dcterms:W3CDTF">2019-01-26T19:26:00Z</dcterms:modified>
</cp:coreProperties>
</file>