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4567F9" w:rsidRDefault="004567F9">
      <w:pPr>
        <w:rPr>
          <w:b/>
          <w:lang w:val="de-DE"/>
        </w:rPr>
      </w:pPr>
      <w:r w:rsidRPr="004567F9">
        <w:rPr>
          <w:b/>
          <w:lang w:val="de-DE"/>
        </w:rPr>
        <w:t xml:space="preserve">Werner Jaeger: </w:t>
      </w:r>
      <w:proofErr w:type="spellStart"/>
      <w:r w:rsidRPr="004567F9">
        <w:rPr>
          <w:b/>
          <w:lang w:val="de-DE"/>
        </w:rPr>
        <w:t>Seinsgewißheit</w:t>
      </w:r>
      <w:proofErr w:type="spellEnd"/>
      <w:r w:rsidRPr="004567F9">
        <w:rPr>
          <w:b/>
          <w:lang w:val="de-DE"/>
        </w:rPr>
        <w:t xml:space="preserve"> und [</w:t>
      </w:r>
      <w:proofErr w:type="spellStart"/>
      <w:r w:rsidRPr="004567F9">
        <w:rPr>
          <w:b/>
          <w:lang w:val="de-DE"/>
        </w:rPr>
        <w:t>bios</w:t>
      </w:r>
      <w:proofErr w:type="spellEnd"/>
      <w:r w:rsidRPr="004567F9">
        <w:rPr>
          <w:b/>
          <w:lang w:val="de-DE"/>
        </w:rPr>
        <w:t xml:space="preserve"> </w:t>
      </w:r>
      <w:proofErr w:type="spellStart"/>
      <w:r w:rsidRPr="004567F9">
        <w:rPr>
          <w:b/>
          <w:lang w:val="de-DE"/>
        </w:rPr>
        <w:t>theoretikos</w:t>
      </w:r>
      <w:proofErr w:type="spellEnd"/>
      <w:r w:rsidRPr="004567F9">
        <w:rPr>
          <w:b/>
          <w:lang w:val="de-DE"/>
        </w:rPr>
        <w:t>]. Die Griechen und das philosophische Lebensideal. In: Sinn und Sein. Ein philosophisches Symposion. Herausgegeben von Richard Wisser. Tübingen: Max Niemeyer, 1960, 1-19.</w:t>
      </w:r>
    </w:p>
    <w:p w:rsidR="004567F9" w:rsidRDefault="004567F9">
      <w:pPr>
        <w:rPr>
          <w:lang w:val="de-DE"/>
        </w:rPr>
      </w:pPr>
    </w:p>
    <w:p w:rsidR="004567F9" w:rsidRDefault="004567F9">
      <w:pPr>
        <w:rPr>
          <w:lang w:val="de-DE"/>
        </w:rPr>
      </w:pPr>
      <w:r>
        <w:rPr>
          <w:lang w:val="de-DE"/>
        </w:rPr>
        <w:t xml:space="preserve">„Doch es gibt eine zweite Form, in der die griechischen Denker das Gepräge unserer geistigen Welt bestimmt haben: sie begriffen Philosophie nicht nur als ein Ganzes abstrakter Lehren und Ideen, sondern als Bios, wie es im Griechischen heißt, d.h. als eine Form des Lebens.“ (1) </w:t>
      </w:r>
    </w:p>
    <w:p w:rsidR="00A746A9" w:rsidRDefault="00A746A9">
      <w:pPr>
        <w:rPr>
          <w:lang w:val="de-DE"/>
        </w:rPr>
      </w:pPr>
      <w:r>
        <w:rPr>
          <w:lang w:val="de-DE"/>
        </w:rPr>
        <w:t>„In einem der verlorenen Dramen des Euripides preist der Chor das stille Leben des Philosophen im Gegensatz zu der übereifrigen Aktivität des athenischen Bürgers:</w:t>
      </w:r>
    </w:p>
    <w:p w:rsidR="00A746A9" w:rsidRDefault="00A746A9">
      <w:pPr>
        <w:rPr>
          <w:lang w:val="de-DE"/>
        </w:rPr>
      </w:pPr>
    </w:p>
    <w:p w:rsidR="00A746A9" w:rsidRDefault="00A746A9">
      <w:pPr>
        <w:rPr>
          <w:lang w:val="de-DE"/>
        </w:rPr>
      </w:pPr>
      <w:r>
        <w:rPr>
          <w:lang w:val="de-DE"/>
        </w:rPr>
        <w:t>Selig ist, der der Forschung</w:t>
      </w:r>
    </w:p>
    <w:p w:rsidR="00A746A9" w:rsidRDefault="00A009AA">
      <w:pPr>
        <w:rPr>
          <w:lang w:val="de-DE"/>
        </w:rPr>
      </w:pPr>
      <w:r>
        <w:rPr>
          <w:lang w:val="de-DE"/>
        </w:rPr>
        <w:t>n</w:t>
      </w:r>
      <w:r w:rsidR="00A746A9">
        <w:rPr>
          <w:lang w:val="de-DE"/>
        </w:rPr>
        <w:t>ach der Wahrheit teilhaft ward.</w:t>
      </w:r>
    </w:p>
    <w:p w:rsidR="00A746A9" w:rsidRDefault="00A746A9">
      <w:pPr>
        <w:rPr>
          <w:lang w:val="de-DE"/>
        </w:rPr>
      </w:pPr>
      <w:r>
        <w:rPr>
          <w:lang w:val="de-DE"/>
        </w:rPr>
        <w:t>Nicht eilet sein Fuß</w:t>
      </w:r>
    </w:p>
    <w:p w:rsidR="00A746A9" w:rsidRDefault="00A746A9">
      <w:pPr>
        <w:rPr>
          <w:lang w:val="de-DE"/>
        </w:rPr>
      </w:pPr>
      <w:r>
        <w:rPr>
          <w:lang w:val="de-DE"/>
        </w:rPr>
        <w:t>Werke des Unrechts zu üben</w:t>
      </w:r>
    </w:p>
    <w:p w:rsidR="00A746A9" w:rsidRDefault="00A009AA">
      <w:pPr>
        <w:rPr>
          <w:lang w:val="de-DE"/>
        </w:rPr>
      </w:pPr>
      <w:r>
        <w:rPr>
          <w:lang w:val="de-DE"/>
        </w:rPr>
        <w:t>z</w:t>
      </w:r>
      <w:r w:rsidR="00A746A9">
        <w:rPr>
          <w:lang w:val="de-DE"/>
        </w:rPr>
        <w:t>u der Bürger Verderben.</w:t>
      </w:r>
    </w:p>
    <w:p w:rsidR="00A746A9" w:rsidRDefault="00A746A9">
      <w:pPr>
        <w:rPr>
          <w:lang w:val="de-DE"/>
        </w:rPr>
      </w:pPr>
      <w:r>
        <w:rPr>
          <w:lang w:val="de-DE"/>
        </w:rPr>
        <w:t xml:space="preserve">Sein Auge </w:t>
      </w:r>
      <w:proofErr w:type="gramStart"/>
      <w:r>
        <w:rPr>
          <w:lang w:val="de-DE"/>
        </w:rPr>
        <w:t>schauet</w:t>
      </w:r>
      <w:proofErr w:type="gramEnd"/>
    </w:p>
    <w:p w:rsidR="00A746A9" w:rsidRDefault="00A009AA">
      <w:pPr>
        <w:rPr>
          <w:lang w:val="de-DE"/>
        </w:rPr>
      </w:pPr>
      <w:r>
        <w:rPr>
          <w:lang w:val="de-DE"/>
        </w:rPr>
        <w:t>d</w:t>
      </w:r>
      <w:r w:rsidR="00A746A9">
        <w:rPr>
          <w:lang w:val="de-DE"/>
        </w:rPr>
        <w:t>er Natur, der unsterblichen,</w:t>
      </w:r>
    </w:p>
    <w:p w:rsidR="00A746A9" w:rsidRDefault="00A746A9">
      <w:pPr>
        <w:rPr>
          <w:lang w:val="de-DE"/>
        </w:rPr>
      </w:pPr>
      <w:r>
        <w:rPr>
          <w:lang w:val="de-DE"/>
        </w:rPr>
        <w:t>nicht alternde Ordnung.</w:t>
      </w:r>
    </w:p>
    <w:p w:rsidR="00A746A9" w:rsidRDefault="00A746A9">
      <w:pPr>
        <w:rPr>
          <w:lang w:val="de-DE"/>
        </w:rPr>
      </w:pPr>
      <w:r>
        <w:rPr>
          <w:lang w:val="de-DE"/>
        </w:rPr>
        <w:t>Ihren Ursprung</w:t>
      </w:r>
    </w:p>
    <w:p w:rsidR="00A746A9" w:rsidRDefault="00A009AA">
      <w:pPr>
        <w:rPr>
          <w:lang w:val="de-DE"/>
        </w:rPr>
      </w:pPr>
      <w:r>
        <w:rPr>
          <w:lang w:val="de-DE"/>
        </w:rPr>
        <w:t>e</w:t>
      </w:r>
      <w:r w:rsidR="00A746A9">
        <w:rPr>
          <w:lang w:val="de-DE"/>
        </w:rPr>
        <w:t>rspürt sein Geist</w:t>
      </w:r>
    </w:p>
    <w:p w:rsidR="00A746A9" w:rsidRDefault="00A009AA">
      <w:pPr>
        <w:rPr>
          <w:lang w:val="de-DE"/>
        </w:rPr>
      </w:pPr>
      <w:r>
        <w:rPr>
          <w:lang w:val="de-DE"/>
        </w:rPr>
        <w:t>u</w:t>
      </w:r>
      <w:r w:rsidR="00A746A9">
        <w:rPr>
          <w:lang w:val="de-DE"/>
        </w:rPr>
        <w:t>nd ihres Werdens Weg,</w:t>
      </w:r>
    </w:p>
    <w:p w:rsidR="00A746A9" w:rsidRDefault="00A746A9">
      <w:pPr>
        <w:rPr>
          <w:lang w:val="de-DE"/>
        </w:rPr>
      </w:pPr>
      <w:r>
        <w:rPr>
          <w:lang w:val="de-DE"/>
        </w:rPr>
        <w:t xml:space="preserve">und es </w:t>
      </w:r>
      <w:proofErr w:type="spellStart"/>
      <w:r>
        <w:rPr>
          <w:lang w:val="de-DE"/>
        </w:rPr>
        <w:t>läßt</w:t>
      </w:r>
      <w:proofErr w:type="spellEnd"/>
      <w:r>
        <w:rPr>
          <w:lang w:val="de-DE"/>
        </w:rPr>
        <w:t xml:space="preserve"> sein Herz nicht</w:t>
      </w:r>
    </w:p>
    <w:p w:rsidR="00A746A9" w:rsidRDefault="00A746A9">
      <w:pPr>
        <w:rPr>
          <w:lang w:val="de-DE"/>
        </w:rPr>
      </w:pPr>
      <w:r>
        <w:rPr>
          <w:lang w:val="de-DE"/>
        </w:rPr>
        <w:t xml:space="preserve">sich verlocken zu böser Tat. </w:t>
      </w:r>
    </w:p>
    <w:p w:rsidR="00A009AA" w:rsidRDefault="00A009AA">
      <w:pPr>
        <w:rPr>
          <w:lang w:val="de-DE"/>
        </w:rPr>
      </w:pPr>
    </w:p>
    <w:p w:rsidR="00A009AA" w:rsidRDefault="00A009AA">
      <w:pPr>
        <w:rPr>
          <w:lang w:val="de-DE"/>
        </w:rPr>
      </w:pPr>
      <w:r>
        <w:rPr>
          <w:lang w:val="de-DE"/>
        </w:rPr>
        <w:t xml:space="preserve">Es ist klar, </w:t>
      </w:r>
      <w:proofErr w:type="spellStart"/>
      <w:r>
        <w:rPr>
          <w:lang w:val="de-DE"/>
        </w:rPr>
        <w:t>daß</w:t>
      </w:r>
      <w:proofErr w:type="spellEnd"/>
      <w:r>
        <w:rPr>
          <w:lang w:val="de-DE"/>
        </w:rPr>
        <w:t xml:space="preserve"> der Mann, den diese Verse beschrieben, von dem Chor bewundert und um seinen Seelenfrieden beneidet wird. Einer der größten Naturforscher und Philosophen dieser Generation, </w:t>
      </w:r>
      <w:proofErr w:type="spellStart"/>
      <w:r w:rsidRPr="00A009AA">
        <w:rPr>
          <w:i/>
          <w:lang w:val="de-DE"/>
        </w:rPr>
        <w:t>Demokrit</w:t>
      </w:r>
      <w:proofErr w:type="spellEnd"/>
      <w:r>
        <w:rPr>
          <w:lang w:val="de-DE"/>
        </w:rPr>
        <w:t xml:space="preserve">, schrieb ein eigenes Buch über diesen Gegenstand unter dem Titel </w:t>
      </w:r>
      <w:r w:rsidRPr="00A009AA">
        <w:rPr>
          <w:i/>
          <w:lang w:val="de-DE"/>
        </w:rPr>
        <w:t>Über Heiterkeit des Gemüts</w:t>
      </w:r>
      <w:r>
        <w:rPr>
          <w:lang w:val="de-DE"/>
        </w:rPr>
        <w:t xml:space="preserve">. Es begann mit den Worten: „Wer Seelenruhe genießen will, </w:t>
      </w:r>
      <w:proofErr w:type="spellStart"/>
      <w:r>
        <w:rPr>
          <w:lang w:val="de-DE"/>
        </w:rPr>
        <w:t>muß</w:t>
      </w:r>
      <w:proofErr w:type="spellEnd"/>
      <w:r>
        <w:rPr>
          <w:lang w:val="de-DE"/>
        </w:rPr>
        <w:t xml:space="preserve"> nicht </w:t>
      </w:r>
      <w:proofErr w:type="spellStart"/>
      <w:r>
        <w:rPr>
          <w:lang w:val="de-DE"/>
        </w:rPr>
        <w:t>zuviel</w:t>
      </w:r>
      <w:proofErr w:type="spellEnd"/>
      <w:r>
        <w:rPr>
          <w:lang w:val="de-DE"/>
        </w:rPr>
        <w:t xml:space="preserve"> Geschäftigkeit entfalten.“ Aber eben diese </w:t>
      </w:r>
      <w:r w:rsidRPr="00A009AA">
        <w:rPr>
          <w:i/>
          <w:lang w:val="de-DE"/>
        </w:rPr>
        <w:t>Geschäftigkeit</w:t>
      </w:r>
      <w:r>
        <w:rPr>
          <w:lang w:val="de-DE"/>
        </w:rPr>
        <w:t xml:space="preserve"> war, was in Athen blühte.“ (6) </w:t>
      </w:r>
    </w:p>
    <w:p w:rsidR="00A009AA" w:rsidRDefault="00A009AA">
      <w:pPr>
        <w:rPr>
          <w:lang w:val="de-DE"/>
        </w:rPr>
      </w:pPr>
      <w:r>
        <w:rPr>
          <w:lang w:val="de-DE"/>
        </w:rPr>
        <w:t xml:space="preserve">„Dennoch sollte aus dieser Bemühung des Sokrates, zu einer rationalen Klärung der sogenannten Tugenden und der Natur des Guten zu gelangen, die größte und </w:t>
      </w:r>
      <w:proofErr w:type="spellStart"/>
      <w:r>
        <w:rPr>
          <w:lang w:val="de-DE"/>
        </w:rPr>
        <w:t>einflußreichste</w:t>
      </w:r>
      <w:proofErr w:type="spellEnd"/>
      <w:r>
        <w:rPr>
          <w:lang w:val="de-DE"/>
        </w:rPr>
        <w:t xml:space="preserve"> theoretische Denkbewegung hervorgehen, die die Welt gesehen hat: die Systeme des </w:t>
      </w:r>
      <w:r w:rsidRPr="00A009AA">
        <w:rPr>
          <w:i/>
          <w:lang w:val="de-DE"/>
        </w:rPr>
        <w:t>Plato</w:t>
      </w:r>
      <w:r>
        <w:rPr>
          <w:lang w:val="de-DE"/>
        </w:rPr>
        <w:t xml:space="preserve"> und </w:t>
      </w:r>
      <w:r w:rsidRPr="00A009AA">
        <w:rPr>
          <w:i/>
          <w:lang w:val="de-DE"/>
        </w:rPr>
        <w:t>Aristoteles</w:t>
      </w:r>
      <w:r>
        <w:rPr>
          <w:lang w:val="de-DE"/>
        </w:rPr>
        <w:t xml:space="preserve">.“ (8) </w:t>
      </w:r>
    </w:p>
    <w:p w:rsidR="00A009AA" w:rsidRDefault="00A009AA">
      <w:pPr>
        <w:rPr>
          <w:lang w:val="de-DE"/>
        </w:rPr>
      </w:pPr>
      <w:r>
        <w:rPr>
          <w:lang w:val="de-DE"/>
        </w:rPr>
        <w:t>„Nach wie vor versteht Plato den ganzen theoretischen Apparat</w:t>
      </w:r>
      <w:r w:rsidR="007439E4">
        <w:rPr>
          <w:lang w:val="de-DE"/>
        </w:rPr>
        <w:t xml:space="preserve"> seiner späteren Ideenlehre als den Weg zum besten Leben.“ (9)</w:t>
      </w:r>
    </w:p>
    <w:p w:rsidR="007439E4" w:rsidRDefault="007439E4">
      <w:pPr>
        <w:rPr>
          <w:lang w:val="de-DE"/>
        </w:rPr>
      </w:pPr>
      <w:r>
        <w:rPr>
          <w:lang w:val="de-DE"/>
        </w:rPr>
        <w:t>„</w:t>
      </w:r>
      <w:proofErr w:type="spellStart"/>
      <w:r>
        <w:rPr>
          <w:lang w:val="de-DE"/>
        </w:rPr>
        <w:t>Gewiß</w:t>
      </w:r>
      <w:proofErr w:type="spellEnd"/>
      <w:r>
        <w:rPr>
          <w:lang w:val="de-DE"/>
        </w:rPr>
        <w:t xml:space="preserve"> hat Plato in manchen seiner Dialoge Probleme der Erkenntnistheorie oder der Seinslehre [10] aus Gründen der Zweckmäßigkeit getrennt behandelt; doch nirgendwo in der Geschichte des menschlichen Geistes kommt die ursprünglich griechische Überzeugung zu ähnlich klassischem Ausdruck, </w:t>
      </w:r>
      <w:proofErr w:type="spellStart"/>
      <w:r>
        <w:rPr>
          <w:lang w:val="de-DE"/>
        </w:rPr>
        <w:t>daß</w:t>
      </w:r>
      <w:proofErr w:type="spellEnd"/>
      <w:r>
        <w:rPr>
          <w:lang w:val="de-DE"/>
        </w:rPr>
        <w:t xml:space="preserve"> </w:t>
      </w:r>
      <w:r w:rsidRPr="007439E4">
        <w:rPr>
          <w:i/>
          <w:lang w:val="de-DE"/>
        </w:rPr>
        <w:t>das Leben des Menschen und die menschliche Tugend durchgängig auf das Sein bezogen sind</w:t>
      </w:r>
      <w:r>
        <w:rPr>
          <w:lang w:val="de-DE"/>
        </w:rPr>
        <w:t xml:space="preserve">. Nur aus dieser Bezogenheit auf das </w:t>
      </w:r>
      <w:r w:rsidRPr="007439E4">
        <w:rPr>
          <w:i/>
          <w:lang w:val="de-DE"/>
        </w:rPr>
        <w:t>Sein</w:t>
      </w:r>
      <w:r>
        <w:rPr>
          <w:lang w:val="de-DE"/>
        </w:rPr>
        <w:t xml:space="preserve"> empfangen sie ihre Bestimmung und ihren Sinn.“ (9-10)</w:t>
      </w:r>
    </w:p>
    <w:p w:rsidR="00CA7B42" w:rsidRDefault="00CA7B42">
      <w:pPr>
        <w:rPr>
          <w:lang w:val="de-DE"/>
        </w:rPr>
      </w:pPr>
      <w:r>
        <w:rPr>
          <w:lang w:val="de-DE"/>
        </w:rPr>
        <w:t xml:space="preserve">„… </w:t>
      </w:r>
      <w:r w:rsidRPr="00CA7B42">
        <w:rPr>
          <w:i/>
          <w:lang w:val="de-DE"/>
        </w:rPr>
        <w:t>denn auf die Betrachtung des Seins wird das beste Leben gegründet</w:t>
      </w:r>
      <w:r>
        <w:rPr>
          <w:lang w:val="de-DE"/>
        </w:rPr>
        <w:t>.“ (10)</w:t>
      </w:r>
    </w:p>
    <w:p w:rsidR="00CA7B42" w:rsidRDefault="00CA7B42">
      <w:pPr>
        <w:rPr>
          <w:lang w:val="de-DE"/>
        </w:rPr>
      </w:pPr>
      <w:r>
        <w:rPr>
          <w:lang w:val="de-DE"/>
        </w:rPr>
        <w:t>„</w:t>
      </w:r>
      <w:proofErr w:type="gramStart"/>
      <w:r>
        <w:rPr>
          <w:lang w:val="de-DE"/>
        </w:rPr>
        <w:t>…</w:t>
      </w:r>
      <w:proofErr w:type="gramEnd"/>
      <w:r>
        <w:rPr>
          <w:lang w:val="de-DE"/>
        </w:rPr>
        <w:t xml:space="preserve"> sondern durch seine [Aristoteles] begeisterte Verkündigung der Philosophie als einer </w:t>
      </w:r>
      <w:r w:rsidRPr="00CA7B42">
        <w:rPr>
          <w:i/>
          <w:lang w:val="de-DE"/>
        </w:rPr>
        <w:t>Lebensform</w:t>
      </w:r>
      <w:r>
        <w:rPr>
          <w:lang w:val="de-DE"/>
        </w:rPr>
        <w:t xml:space="preserve">. Mit Plato unterschied er drei Hauptformen des Lebens entsprechend dem </w:t>
      </w:r>
      <w:r>
        <w:rPr>
          <w:lang w:val="de-DE"/>
        </w:rPr>
        <w:lastRenderedPageBreak/>
        <w:t xml:space="preserve">höchsten Gut, nach dem verschiedene Typen von Menschen streben: das Leben des Genusses, das Leben der Tat, und </w:t>
      </w:r>
      <w:proofErr w:type="gramStart"/>
      <w:r>
        <w:rPr>
          <w:lang w:val="de-DE"/>
        </w:rPr>
        <w:t>das</w:t>
      </w:r>
      <w:proofErr w:type="gramEnd"/>
      <w:r>
        <w:rPr>
          <w:lang w:val="de-DE"/>
        </w:rPr>
        <w:t xml:space="preserve"> der Betrachtung.“ (11) </w:t>
      </w:r>
    </w:p>
    <w:p w:rsidR="0005105E" w:rsidRDefault="00CA7B42">
      <w:pPr>
        <w:rPr>
          <w:lang w:val="de-DE"/>
        </w:rPr>
      </w:pPr>
      <w:r>
        <w:rPr>
          <w:lang w:val="de-DE"/>
        </w:rPr>
        <w:t xml:space="preserve">„… </w:t>
      </w:r>
      <w:proofErr w:type="spellStart"/>
      <w:r>
        <w:rPr>
          <w:lang w:val="de-DE"/>
        </w:rPr>
        <w:t>daß</w:t>
      </w:r>
      <w:proofErr w:type="spellEnd"/>
      <w:r>
        <w:rPr>
          <w:lang w:val="de-DE"/>
        </w:rPr>
        <w:t xml:space="preserve"> seine Theorie des philosophischen Lebens der Punkt ist, zu dem seine Ethik und Metaphysik konvergieren.“ (11) </w:t>
      </w:r>
    </w:p>
    <w:p w:rsidR="0069043B" w:rsidRDefault="0005105E">
      <w:pPr>
        <w:rPr>
          <w:lang w:val="de-DE"/>
        </w:rPr>
      </w:pPr>
      <w:r>
        <w:rPr>
          <w:lang w:val="de-DE"/>
        </w:rPr>
        <w:t xml:space="preserve">„Nach Aristoteles ist das beste Leben für den Menschen das Leben, das ihn seine eigentümliche Natur erfüllen </w:t>
      </w:r>
      <w:proofErr w:type="spellStart"/>
      <w:r>
        <w:rPr>
          <w:lang w:val="de-DE"/>
        </w:rPr>
        <w:t>läßt</w:t>
      </w:r>
      <w:proofErr w:type="spellEnd"/>
      <w:r w:rsidR="0069043B">
        <w:rPr>
          <w:lang w:val="de-DE"/>
        </w:rPr>
        <w:t xml:space="preserve">, und dies </w:t>
      </w:r>
      <w:proofErr w:type="spellStart"/>
      <w:r w:rsidR="0069043B">
        <w:rPr>
          <w:lang w:val="de-DE"/>
        </w:rPr>
        <w:t>muß</w:t>
      </w:r>
      <w:proofErr w:type="spellEnd"/>
      <w:r w:rsidR="0069043B">
        <w:rPr>
          <w:lang w:val="de-DE"/>
        </w:rPr>
        <w:t xml:space="preserve"> eine Tätigkeit der Vernunft sein oder doch eine solche, die im </w:t>
      </w:r>
      <w:r w:rsidR="0069043B" w:rsidRPr="0069043B">
        <w:rPr>
          <w:i/>
          <w:lang w:val="de-DE"/>
        </w:rPr>
        <w:t>Einklang</w:t>
      </w:r>
      <w:r w:rsidR="0069043B">
        <w:rPr>
          <w:lang w:val="de-DE"/>
        </w:rPr>
        <w:t xml:space="preserve"> mit der Vernunft steht.“ (12) </w:t>
      </w:r>
    </w:p>
    <w:p w:rsidR="00CA7B42" w:rsidRDefault="0069043B">
      <w:pPr>
        <w:rPr>
          <w:lang w:val="de-DE"/>
        </w:rPr>
      </w:pPr>
      <w:r>
        <w:rPr>
          <w:lang w:val="de-DE"/>
        </w:rPr>
        <w:t xml:space="preserve">„So erfüllt Aristoteles das Ideal des betrachtenden Lebens mit </w:t>
      </w:r>
      <w:r w:rsidRPr="0069043B">
        <w:rPr>
          <w:i/>
          <w:lang w:val="de-DE"/>
        </w:rPr>
        <w:t>einem neuen Inhalt</w:t>
      </w:r>
      <w:r>
        <w:rPr>
          <w:lang w:val="de-DE"/>
        </w:rPr>
        <w:t xml:space="preserve">: es ist nicht mehr wie bei den ältesten Denkern eine Betrachtung des Himmels oder der natürlichen Phänomene durch das Auge, sondern die </w:t>
      </w:r>
      <w:r w:rsidRPr="0069043B">
        <w:rPr>
          <w:i/>
          <w:lang w:val="de-DE"/>
        </w:rPr>
        <w:t>intellektuelle Anschauung des Seins</w:t>
      </w:r>
      <w:r>
        <w:rPr>
          <w:lang w:val="de-DE"/>
        </w:rPr>
        <w:t xml:space="preserve"> in seiner Gesamtheit, gipfelnd in dem göttlichen Sein. In der Anschauung dieser Architektur der Realität wird die Betrachtung des Philosophen selbst zum architektonischen Prinzip und zum konstruktiven Nachschöpfer des Lebens und seiner Ordnung.“ (14) </w:t>
      </w:r>
      <w:r w:rsidR="00CA7B42">
        <w:rPr>
          <w:lang w:val="de-DE"/>
        </w:rPr>
        <w:t xml:space="preserve"> </w:t>
      </w:r>
    </w:p>
    <w:p w:rsidR="003C21AB" w:rsidRDefault="003C21AB">
      <w:pPr>
        <w:rPr>
          <w:lang w:val="de-DE"/>
        </w:rPr>
      </w:pPr>
      <w:r>
        <w:rPr>
          <w:lang w:val="de-DE"/>
        </w:rPr>
        <w:t xml:space="preserve">„Eins ist not, der Natur zu folgen und in Harmonie mit ihr zu leben. Wie anders ist doch die jüdische Frömmigkeit, aus der unsere </w:t>
      </w:r>
      <w:r w:rsidRPr="003C21AB">
        <w:rPr>
          <w:i/>
          <w:lang w:val="de-DE"/>
        </w:rPr>
        <w:t>christliche Religion</w:t>
      </w:r>
      <w:r>
        <w:rPr>
          <w:lang w:val="de-DE"/>
        </w:rPr>
        <w:t xml:space="preserve"> stammt. Sie ist erfüllt von tiefer Beunruhigung über die sündige Welt, an der jeder von uns </w:t>
      </w:r>
      <w:proofErr w:type="gramStart"/>
      <w:r>
        <w:rPr>
          <w:lang w:val="de-DE"/>
        </w:rPr>
        <w:t>teil hat</w:t>
      </w:r>
      <w:proofErr w:type="gramEnd"/>
      <w:r>
        <w:rPr>
          <w:lang w:val="de-DE"/>
        </w:rPr>
        <w:t xml:space="preserve">, und ist niemals in ihr zufrieden. Nur im Bunde mit Gott erlangt der Einzelne wie das ganze Volk ein Gefühl der Zuversicht, aber dieses verweist ihn über das Gegenwärtige hinaus und nimmt die Form der Hoffnung auf eine bessere Zukunft an. Der jüdische Glaube ist zunehmend eschatologisch, während die </w:t>
      </w:r>
      <w:r w:rsidRPr="003C21AB">
        <w:rPr>
          <w:i/>
          <w:lang w:val="de-DE"/>
        </w:rPr>
        <w:t>griechische</w:t>
      </w:r>
      <w:r>
        <w:rPr>
          <w:lang w:val="de-DE"/>
        </w:rPr>
        <w:t xml:space="preserve"> Frömmigkeit in der </w:t>
      </w:r>
      <w:proofErr w:type="spellStart"/>
      <w:r w:rsidRPr="003C21AB">
        <w:rPr>
          <w:i/>
          <w:lang w:val="de-DE"/>
        </w:rPr>
        <w:t>Gewißheit</w:t>
      </w:r>
      <w:proofErr w:type="spellEnd"/>
      <w:r w:rsidRPr="003C21AB">
        <w:rPr>
          <w:i/>
          <w:lang w:val="de-DE"/>
        </w:rPr>
        <w:t xml:space="preserve"> des Seins</w:t>
      </w:r>
      <w:r>
        <w:rPr>
          <w:lang w:val="de-DE"/>
        </w:rPr>
        <w:t xml:space="preserve"> begründet ist. Sie geht von dem Unzulänglichen hier und jetzt immer wieder zu den unzerstörbaren Grundformen und Gesetzen der Natur zurück und verwandelt dadurch das Chaos in einen Kosmos. </w:t>
      </w:r>
    </w:p>
    <w:p w:rsidR="003C21AB" w:rsidRDefault="003C21AB">
      <w:pPr>
        <w:rPr>
          <w:lang w:val="de-DE"/>
        </w:rPr>
      </w:pPr>
      <w:r>
        <w:rPr>
          <w:lang w:val="de-DE"/>
        </w:rPr>
        <w:t xml:space="preserve">Die Idee, </w:t>
      </w:r>
      <w:proofErr w:type="spellStart"/>
      <w:r>
        <w:rPr>
          <w:lang w:val="de-DE"/>
        </w:rPr>
        <w:t>daß</w:t>
      </w:r>
      <w:proofErr w:type="spellEnd"/>
      <w:r>
        <w:rPr>
          <w:lang w:val="de-DE"/>
        </w:rPr>
        <w:t xml:space="preserve"> die Betrachtung des Seins der wesentliche Inhalt der höchsten menschlichen Tätigkeit ist, zieht sich durch die gesamte Geschichte des griechischen Geistes. </w:t>
      </w:r>
      <w:r w:rsidRPr="003C21AB">
        <w:rPr>
          <w:i/>
          <w:lang w:val="de-DE"/>
        </w:rPr>
        <w:t>Sie ist eine der Konstanten, welche die Struktur dieses Geistes bilden, und gleichsam ein metaphysisches Apriori des Griechen</w:t>
      </w:r>
      <w:r>
        <w:rPr>
          <w:lang w:val="de-DE"/>
        </w:rPr>
        <w:t>, das wir in seiner Kunst und in seiner Philosophie wie in seiner Lebensgestaltung überall finden, wenn wir den Erscheinungen auf den Grund gehen.“ (16)</w:t>
      </w:r>
    </w:p>
    <w:p w:rsidR="003C21AB" w:rsidRDefault="003C21AB">
      <w:pPr>
        <w:rPr>
          <w:lang w:val="de-DE"/>
        </w:rPr>
      </w:pPr>
      <w:r>
        <w:rPr>
          <w:lang w:val="de-DE"/>
        </w:rPr>
        <w:t xml:space="preserve">„Im Neuplatonismus des </w:t>
      </w:r>
      <w:proofErr w:type="spellStart"/>
      <w:r w:rsidRPr="003C21AB">
        <w:rPr>
          <w:i/>
          <w:lang w:val="de-DE"/>
        </w:rPr>
        <w:t>Plotin</w:t>
      </w:r>
      <w:proofErr w:type="spellEnd"/>
      <w:r>
        <w:rPr>
          <w:lang w:val="de-DE"/>
        </w:rPr>
        <w:t xml:space="preserve"> hat sich die griechische Philosophie gleichsam überboten in einer Art von </w:t>
      </w:r>
      <w:proofErr w:type="spellStart"/>
      <w:r w:rsidRPr="003C21AB">
        <w:rPr>
          <w:i/>
          <w:lang w:val="de-DE"/>
        </w:rPr>
        <w:t>Pankontemplationismus</w:t>
      </w:r>
      <w:proofErr w:type="spellEnd"/>
      <w:r>
        <w:rPr>
          <w:lang w:val="de-DE"/>
        </w:rPr>
        <w:t xml:space="preserve">, denn er behauptet, </w:t>
      </w:r>
      <w:proofErr w:type="spellStart"/>
      <w:r>
        <w:rPr>
          <w:lang w:val="de-DE"/>
        </w:rPr>
        <w:t>daß</w:t>
      </w:r>
      <w:proofErr w:type="spellEnd"/>
      <w:r>
        <w:rPr>
          <w:lang w:val="de-DE"/>
        </w:rPr>
        <w:t xml:space="preserve"> der Mensch nicht als einsamer Betrachter der göttlichen Ordnung der Dinge geschaffen sei, sondern </w:t>
      </w:r>
      <w:proofErr w:type="spellStart"/>
      <w:r>
        <w:rPr>
          <w:lang w:val="de-DE"/>
        </w:rPr>
        <w:t>daß</w:t>
      </w:r>
      <w:proofErr w:type="spellEnd"/>
      <w:r>
        <w:rPr>
          <w:lang w:val="de-DE"/>
        </w:rPr>
        <w:t xml:space="preserve"> die ganze Natur gleichsam in ewiger Kontemplation [17] ihrer Form begriffen sei.“ (16-17)</w:t>
      </w:r>
    </w:p>
    <w:p w:rsidR="006D1595" w:rsidRDefault="006D1595">
      <w:pPr>
        <w:rPr>
          <w:lang w:val="de-DE"/>
        </w:rPr>
      </w:pPr>
      <w:r>
        <w:rPr>
          <w:lang w:val="de-DE"/>
        </w:rPr>
        <w:t xml:space="preserve">„Die großen christlichen Schriftsteller, die seit der Zeit des </w:t>
      </w:r>
      <w:proofErr w:type="spellStart"/>
      <w:r>
        <w:rPr>
          <w:lang w:val="de-DE"/>
        </w:rPr>
        <w:t>Origenes</w:t>
      </w:r>
      <w:proofErr w:type="spellEnd"/>
      <w:r>
        <w:rPr>
          <w:lang w:val="de-DE"/>
        </w:rPr>
        <w:t xml:space="preserve"> das monastische Lebensideal darstellten, nannten es das „philosophische Leben“, und die Mönche wurden durchweg „Philosophen“ genannt. Man sprach von Askese, ein Wort, das man von den griechischen Philosophen übernahm, und von der </w:t>
      </w:r>
      <w:proofErr w:type="spellStart"/>
      <w:r w:rsidRPr="006D1595">
        <w:rPr>
          <w:i/>
          <w:lang w:val="de-DE"/>
        </w:rPr>
        <w:t>Theoria</w:t>
      </w:r>
      <w:proofErr w:type="spellEnd"/>
      <w:r>
        <w:rPr>
          <w:lang w:val="de-DE"/>
        </w:rPr>
        <w:t xml:space="preserve"> oder Kontemplation Gottes, und man interpretierte das Gebet, den Hauptinhalt dieses Lebens, als die Reinigung des Geistes, die ihn fähig machte, zu der Region des reinen </w:t>
      </w:r>
      <w:r w:rsidRPr="006D1595">
        <w:rPr>
          <w:i/>
          <w:lang w:val="de-DE"/>
        </w:rPr>
        <w:t>Seins</w:t>
      </w:r>
      <w:r>
        <w:rPr>
          <w:lang w:val="de-DE"/>
        </w:rPr>
        <w:t xml:space="preserve"> und der göttlichen </w:t>
      </w:r>
      <w:r w:rsidRPr="006D1595">
        <w:rPr>
          <w:i/>
          <w:lang w:val="de-DE"/>
        </w:rPr>
        <w:t>Vollkommenheit</w:t>
      </w:r>
      <w:r>
        <w:rPr>
          <w:lang w:val="de-DE"/>
        </w:rPr>
        <w:t xml:space="preserve"> aufzusteigen. Die Klöster wurden </w:t>
      </w:r>
      <w:proofErr w:type="spellStart"/>
      <w:r>
        <w:rPr>
          <w:lang w:val="de-DE"/>
        </w:rPr>
        <w:t>Phrontisteria</w:t>
      </w:r>
      <w:proofErr w:type="spellEnd"/>
      <w:r>
        <w:rPr>
          <w:lang w:val="de-DE"/>
        </w:rPr>
        <w:t xml:space="preserve">, d.h. Denkstätten genannt nach dem Muster des </w:t>
      </w:r>
      <w:proofErr w:type="spellStart"/>
      <w:r>
        <w:rPr>
          <w:lang w:val="de-DE"/>
        </w:rPr>
        <w:t>Phrontisterion</w:t>
      </w:r>
      <w:proofErr w:type="spellEnd"/>
      <w:r>
        <w:rPr>
          <w:lang w:val="de-DE"/>
        </w:rPr>
        <w:t xml:space="preserve"> des Sokrates in Aristophanes Wolken, und die Leben der Heiligen, die man zum Preis ihrer Tugenden </w:t>
      </w:r>
      <w:proofErr w:type="spellStart"/>
      <w:r>
        <w:rPr>
          <w:lang w:val="de-DE"/>
        </w:rPr>
        <w:t>verfaßte</w:t>
      </w:r>
      <w:proofErr w:type="spellEnd"/>
      <w:r>
        <w:rPr>
          <w:lang w:val="de-DE"/>
        </w:rPr>
        <w:t>, folgten vielfach dem Vorbilde und der Form der antiken Biographien des Pythagoras, der der erste gewesen war, der einen philosophischen Orden gegründet und Regeln für das asketische Leben seiner Mitglieder festgesetzt hatte.“ (17)</w:t>
      </w:r>
    </w:p>
    <w:p w:rsidR="006D1595" w:rsidRPr="004567F9" w:rsidRDefault="006D1595">
      <w:pPr>
        <w:rPr>
          <w:lang w:val="de-DE"/>
        </w:rPr>
      </w:pPr>
      <w:r>
        <w:rPr>
          <w:lang w:val="de-DE"/>
        </w:rPr>
        <w:t xml:space="preserve">„Aber philosophisch betrachtet, hängt die Möglichkeit der Existenz der </w:t>
      </w:r>
      <w:proofErr w:type="spellStart"/>
      <w:r w:rsidRPr="00636F92">
        <w:rPr>
          <w:i/>
          <w:lang w:val="de-DE"/>
        </w:rPr>
        <w:t>vita</w:t>
      </w:r>
      <w:proofErr w:type="spellEnd"/>
      <w:r w:rsidRPr="00636F92">
        <w:rPr>
          <w:i/>
          <w:lang w:val="de-DE"/>
        </w:rPr>
        <w:t xml:space="preserve"> </w:t>
      </w:r>
      <w:proofErr w:type="spellStart"/>
      <w:r w:rsidRPr="00636F92">
        <w:rPr>
          <w:i/>
          <w:lang w:val="de-DE"/>
        </w:rPr>
        <w:t>contemplativa</w:t>
      </w:r>
      <w:proofErr w:type="spellEnd"/>
      <w:r>
        <w:rPr>
          <w:lang w:val="de-DE"/>
        </w:rPr>
        <w:t xml:space="preserve"> in dem echten griechischen Sinne an dem Begriff des Seins, und hier rühren wir an ein </w:t>
      </w:r>
      <w:r w:rsidRPr="00636F92">
        <w:rPr>
          <w:i/>
          <w:lang w:val="de-DE"/>
        </w:rPr>
        <w:lastRenderedPageBreak/>
        <w:t>Grundproblem unserer modernen philosophischen Situation</w:t>
      </w:r>
      <w:r>
        <w:rPr>
          <w:lang w:val="de-DE"/>
        </w:rPr>
        <w:t xml:space="preserve">. Diese Situation ist charakterisiert durch den zunehmenden Verfall des philosophischen </w:t>
      </w:r>
      <w:bookmarkStart w:id="0" w:name="_GoBack"/>
      <w:proofErr w:type="spellStart"/>
      <w:r w:rsidRPr="00636F92">
        <w:rPr>
          <w:i/>
          <w:lang w:val="de-DE"/>
        </w:rPr>
        <w:t>Seinsgewißheit</w:t>
      </w:r>
      <w:bookmarkEnd w:id="0"/>
      <w:proofErr w:type="spellEnd"/>
      <w:r>
        <w:rPr>
          <w:lang w:val="de-DE"/>
        </w:rPr>
        <w:t>, wie sie von den großen Meistern des kontemplativen Lebens verstanden wurde. In einer Welt ohne Sein wird die Funktion der Erkenntnis rein instrumental. Unsere modernen Universitäten sind vielfach nicht mehr Stätten für Kontemplation, sondern Fabriken, die die Werkzeuge unserer Zivilisation produzieren, einschließlich der Werkzeuge für ihre Zerstörung.“ (18)</w:t>
      </w:r>
    </w:p>
    <w:sectPr w:rsidR="006D1595" w:rsidRPr="004567F9"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7F9"/>
    <w:rsid w:val="0005105E"/>
    <w:rsid w:val="001231ED"/>
    <w:rsid w:val="00201BEA"/>
    <w:rsid w:val="00395CDE"/>
    <w:rsid w:val="003C21AB"/>
    <w:rsid w:val="004567F9"/>
    <w:rsid w:val="0055526E"/>
    <w:rsid w:val="00635244"/>
    <w:rsid w:val="00636F92"/>
    <w:rsid w:val="0069043B"/>
    <w:rsid w:val="006D1595"/>
    <w:rsid w:val="006E0AF6"/>
    <w:rsid w:val="007439E4"/>
    <w:rsid w:val="009B5728"/>
    <w:rsid w:val="00A009AA"/>
    <w:rsid w:val="00A746A9"/>
    <w:rsid w:val="00CA7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36F0AB"/>
  <w14:defaultImageDpi w14:val="32767"/>
  <w15:chartTrackingRefBased/>
  <w15:docId w15:val="{12A342F5-96E2-7545-BD11-D4246591A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7</cp:revision>
  <dcterms:created xsi:type="dcterms:W3CDTF">2018-09-07T12:33:00Z</dcterms:created>
  <dcterms:modified xsi:type="dcterms:W3CDTF">2019-01-26T03:37:00Z</dcterms:modified>
</cp:coreProperties>
</file>