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4F17F3" w:rsidRDefault="004F17F3">
      <w:pPr>
        <w:rPr>
          <w:b/>
          <w:lang w:val="de-DE"/>
        </w:rPr>
      </w:pPr>
      <w:r w:rsidRPr="004F17F3">
        <w:rPr>
          <w:b/>
          <w:lang w:val="de-DE"/>
        </w:rPr>
        <w:t>Eduard von Hartmann</w:t>
      </w:r>
      <w:bookmarkStart w:id="0" w:name="_GoBack"/>
      <w:bookmarkEnd w:id="0"/>
      <w:r w:rsidRPr="004F17F3">
        <w:rPr>
          <w:b/>
          <w:lang w:val="de-DE"/>
        </w:rPr>
        <w:t>: Philosophische Fragen der Gegenwart. Leipzig: Verlag von Wilhelm Friedrich, 1885.</w:t>
      </w:r>
    </w:p>
    <w:p w:rsidR="004F17F3" w:rsidRDefault="004F17F3">
      <w:pPr>
        <w:rPr>
          <w:lang w:val="de-DE"/>
        </w:rPr>
      </w:pPr>
    </w:p>
    <w:p w:rsidR="004F17F3" w:rsidRDefault="004F17F3">
      <w:pPr>
        <w:rPr>
          <w:lang w:val="de-DE"/>
        </w:rPr>
      </w:pPr>
      <w:r>
        <w:rPr>
          <w:lang w:val="de-DE"/>
        </w:rPr>
        <w:t xml:space="preserve">II. Mein </w:t>
      </w:r>
      <w:proofErr w:type="spellStart"/>
      <w:r>
        <w:rPr>
          <w:lang w:val="de-DE"/>
        </w:rPr>
        <w:t>Verhältniss</w:t>
      </w:r>
      <w:proofErr w:type="spellEnd"/>
      <w:r>
        <w:rPr>
          <w:lang w:val="de-DE"/>
        </w:rPr>
        <w:t xml:space="preserve"> zu Schopenhauer, 25-37</w:t>
      </w:r>
    </w:p>
    <w:p w:rsidR="004F17F3" w:rsidRPr="004F17F3" w:rsidRDefault="004F17F3">
      <w:pPr>
        <w:rPr>
          <w:lang w:val="de-DE"/>
        </w:rPr>
      </w:pPr>
      <w:r>
        <w:rPr>
          <w:lang w:val="de-DE"/>
        </w:rPr>
        <w:t>„</w:t>
      </w:r>
      <w:proofErr w:type="spellStart"/>
      <w:r>
        <w:rPr>
          <w:lang w:val="de-DE"/>
        </w:rPr>
        <w:t>Demgemäss</w:t>
      </w:r>
      <w:proofErr w:type="spellEnd"/>
      <w:r>
        <w:rPr>
          <w:lang w:val="de-DE"/>
        </w:rPr>
        <w:t xml:space="preserve"> geziemt dem Weisen nach Schopenhauer nur eine Resignation, welche ihn selbst und die Welt laufen lässt, wie sie eben sind, und höchstens im geistigen Verkehr mit den </w:t>
      </w:r>
      <w:proofErr w:type="spellStart"/>
      <w:r>
        <w:rPr>
          <w:lang w:val="de-DE"/>
        </w:rPr>
        <w:t>grossen</w:t>
      </w:r>
      <w:proofErr w:type="spellEnd"/>
      <w:r>
        <w:rPr>
          <w:lang w:val="de-DE"/>
        </w:rPr>
        <w:t xml:space="preserve"> Denkern und Dichtern aller Zeiten einem verfeinerten Epikureismus huldigt. Mir erscheint ein solches schön-[31]geistiges Schmarotzerleben unsittlich, weil jeder Einzelne die Pflicht hat, seine Kräfte im Dienste des Ganzen zu </w:t>
      </w:r>
      <w:proofErr w:type="spellStart"/>
      <w:r>
        <w:rPr>
          <w:lang w:val="de-DE"/>
        </w:rPr>
        <w:t>bethätigen</w:t>
      </w:r>
      <w:proofErr w:type="spellEnd"/>
      <w:r>
        <w:rPr>
          <w:lang w:val="de-DE"/>
        </w:rPr>
        <w:t xml:space="preserve">; der Quietismus als die in ein System gebrachte natürliche Trägheit, gilt mir als ein </w:t>
      </w:r>
      <w:proofErr w:type="spellStart"/>
      <w:r>
        <w:rPr>
          <w:lang w:val="de-DE"/>
        </w:rPr>
        <w:t>principiell</w:t>
      </w:r>
      <w:proofErr w:type="spellEnd"/>
      <w:r>
        <w:rPr>
          <w:lang w:val="de-DE"/>
        </w:rPr>
        <w:t xml:space="preserve"> unsittlicher Standpunkt, weil er die grundsätzliche Verleugnung aller positiven Pflichten sanktioniert.“ (30-31) </w:t>
      </w:r>
    </w:p>
    <w:sectPr w:rsidR="004F17F3" w:rsidRPr="004F17F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7F3"/>
    <w:rsid w:val="001231ED"/>
    <w:rsid w:val="00395CDE"/>
    <w:rsid w:val="004F17F3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9DD91627-0CEF-5249-8A6C-8A20A222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2020-01-01T16:23:00Z</dcterms:created>
  <dcterms:modified xsi:type="dcterms:W3CDTF">2020-01-01T16:30:00Z</dcterms:modified>
</cp:coreProperties>
</file>