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34027" w14:textId="77777777" w:rsidR="006A41F3" w:rsidRPr="00524450" w:rsidRDefault="004229DA">
      <w:pPr>
        <w:rPr>
          <w:b/>
          <w:lang w:val="de-DE"/>
        </w:rPr>
      </w:pPr>
      <w:r w:rsidRPr="00524450">
        <w:rPr>
          <w:b/>
          <w:lang w:val="de-DE"/>
        </w:rPr>
        <w:t>Alois M. Haas: Christliche Aspekte des ‚</w:t>
      </w:r>
      <w:proofErr w:type="spellStart"/>
      <w:r w:rsidRPr="00524450">
        <w:rPr>
          <w:b/>
          <w:lang w:val="de-DE"/>
        </w:rPr>
        <w:t>Gnothi</w:t>
      </w:r>
      <w:proofErr w:type="spellEnd"/>
      <w:r w:rsidRPr="00524450">
        <w:rPr>
          <w:b/>
          <w:lang w:val="de-DE"/>
        </w:rPr>
        <w:t xml:space="preserve"> </w:t>
      </w:r>
      <w:proofErr w:type="spellStart"/>
      <w:r w:rsidRPr="00524450">
        <w:rPr>
          <w:b/>
          <w:lang w:val="de-DE"/>
        </w:rPr>
        <w:t>seauton</w:t>
      </w:r>
      <w:proofErr w:type="spellEnd"/>
      <w:r w:rsidRPr="00524450">
        <w:rPr>
          <w:b/>
          <w:lang w:val="de-DE"/>
        </w:rPr>
        <w:t xml:space="preserve">‘. Selbsterkenntnis und Mystik. </w:t>
      </w:r>
      <w:r w:rsidR="00B74726" w:rsidRPr="00524450">
        <w:rPr>
          <w:b/>
          <w:lang w:val="de-DE"/>
        </w:rPr>
        <w:t>In: Zeitschrift für deutsches Altertum und deutsche Literatur. 110. Bd., H. 2, 71-96.</w:t>
      </w:r>
    </w:p>
    <w:p w14:paraId="1270FC93" w14:textId="77777777" w:rsidR="00B74726" w:rsidRDefault="00B74726">
      <w:pPr>
        <w:rPr>
          <w:lang w:val="de-DE"/>
        </w:rPr>
      </w:pPr>
    </w:p>
    <w:p w14:paraId="1396562B" w14:textId="77777777" w:rsidR="00B74726" w:rsidRDefault="00B74726">
      <w:pPr>
        <w:rPr>
          <w:lang w:val="de-DE"/>
        </w:rPr>
      </w:pPr>
      <w:r>
        <w:rPr>
          <w:lang w:val="de-DE"/>
        </w:rPr>
        <w:t xml:space="preserve">„Menschen gehen hin und bewundern die Höhen der Berge und die ungeheuren Fluten des Meeres und die breit </w:t>
      </w:r>
      <w:proofErr w:type="spellStart"/>
      <w:r>
        <w:rPr>
          <w:lang w:val="de-DE"/>
        </w:rPr>
        <w:t>daherbrausenden</w:t>
      </w:r>
      <w:proofErr w:type="spellEnd"/>
      <w:r>
        <w:rPr>
          <w:lang w:val="de-DE"/>
        </w:rPr>
        <w:t xml:space="preserve"> Ströme</w:t>
      </w:r>
      <w:r w:rsidR="00165510">
        <w:rPr>
          <w:lang w:val="de-DE"/>
        </w:rPr>
        <w:t>, des Ozeans Umlauf und das Kreisen der Gestirne und vergessen darüber sich selbst“ (</w:t>
      </w:r>
      <w:proofErr w:type="spellStart"/>
      <w:r w:rsidR="00165510">
        <w:rPr>
          <w:lang w:val="de-DE"/>
        </w:rPr>
        <w:t>Conf</w:t>
      </w:r>
      <w:proofErr w:type="spellEnd"/>
      <w:r w:rsidR="00165510">
        <w:rPr>
          <w:lang w:val="de-DE"/>
        </w:rPr>
        <w:t>. X, 8, 15)“ (74)</w:t>
      </w:r>
    </w:p>
    <w:p w14:paraId="09745D08" w14:textId="498DF86B" w:rsidR="00165510" w:rsidRDefault="00165510">
      <w:pPr>
        <w:rPr>
          <w:lang w:val="de-DE"/>
        </w:rPr>
      </w:pPr>
      <w:r>
        <w:rPr>
          <w:lang w:val="de-DE"/>
        </w:rPr>
        <w:t xml:space="preserve">„Das </w:t>
      </w:r>
      <w:proofErr w:type="spellStart"/>
      <w:r>
        <w:rPr>
          <w:lang w:val="de-DE"/>
        </w:rPr>
        <w:t>Nosce</w:t>
      </w:r>
      <w:proofErr w:type="spellEnd"/>
      <w:r>
        <w:rPr>
          <w:lang w:val="de-DE"/>
        </w:rPr>
        <w:t xml:space="preserve"> </w:t>
      </w:r>
      <w:proofErr w:type="spellStart"/>
      <w:r>
        <w:rPr>
          <w:lang w:val="de-DE"/>
        </w:rPr>
        <w:t>teipsum</w:t>
      </w:r>
      <w:proofErr w:type="spellEnd"/>
      <w:r>
        <w:rPr>
          <w:lang w:val="de-DE"/>
        </w:rPr>
        <w:t xml:space="preserve"> rückt bei Augustin daher von allem Anfang an in die unauflösbare Dimensi</w:t>
      </w:r>
      <w:r w:rsidR="00994697">
        <w:rPr>
          <w:lang w:val="de-DE"/>
        </w:rPr>
        <w:t>on</w:t>
      </w:r>
      <w:bookmarkStart w:id="0" w:name="_GoBack"/>
      <w:bookmarkEnd w:id="0"/>
      <w:r>
        <w:rPr>
          <w:lang w:val="de-DE"/>
        </w:rPr>
        <w:t xml:space="preserve"> eines personal grundgelegten Gott-Mensch-Zusammenhangs.“ (76)</w:t>
      </w:r>
    </w:p>
    <w:p w14:paraId="5021B23B" w14:textId="77777777" w:rsidR="00165510" w:rsidRDefault="00165510">
      <w:pPr>
        <w:rPr>
          <w:lang w:val="de-DE"/>
        </w:rPr>
      </w:pPr>
      <w:r>
        <w:rPr>
          <w:lang w:val="de-DE"/>
        </w:rPr>
        <w:t>„Man sieht: die augustinische Introversion ist nicht denkbar ohne die sprengende Extraversion in die Höhe Gottes; die Selbsterkenntnis ist sinnvoll nur als Anfang der Gotteserkenntnis.“ (79)</w:t>
      </w:r>
    </w:p>
    <w:p w14:paraId="37BF4F5C" w14:textId="77777777" w:rsidR="00165510" w:rsidRDefault="00165510">
      <w:pPr>
        <w:rPr>
          <w:lang w:val="de-DE"/>
        </w:rPr>
      </w:pPr>
      <w:r>
        <w:rPr>
          <w:lang w:val="de-DE"/>
        </w:rPr>
        <w:t xml:space="preserve">„‘Mein Sohn, denk an dein Ende! Dann sündigst du in alle Zukunft nicht!‘ Erinnere dich deiner Anfänge, achte deiner Mitte, </w:t>
      </w:r>
      <w:proofErr w:type="gramStart"/>
      <w:r>
        <w:rPr>
          <w:lang w:val="de-DE"/>
        </w:rPr>
        <w:t>gedenke</w:t>
      </w:r>
      <w:proofErr w:type="gramEnd"/>
      <w:r>
        <w:rPr>
          <w:lang w:val="de-DE"/>
        </w:rPr>
        <w:t xml:space="preserve"> deiner letzten Dinge! Der Anfang erweckt Scham in dir, die Mitte bereitet dir Schmerz, das Ende jagt dir Furcht ein. Erwäge, woher du gekommen, und erröte, wo du bist, und seufze, wohin du gehst, und zittere! Siehe zu, </w:t>
      </w:r>
      <w:proofErr w:type="spellStart"/>
      <w:r>
        <w:rPr>
          <w:lang w:val="de-DE"/>
        </w:rPr>
        <w:t>daß</w:t>
      </w:r>
      <w:proofErr w:type="spellEnd"/>
      <w:r>
        <w:rPr>
          <w:lang w:val="de-DE"/>
        </w:rPr>
        <w:t xml:space="preserve"> du dich betreffs deiner nicht in Unkenntnis hüllst.“ (Bernhard, De </w:t>
      </w:r>
      <w:proofErr w:type="spellStart"/>
      <w:r>
        <w:rPr>
          <w:lang w:val="de-DE"/>
        </w:rPr>
        <w:t>diversis</w:t>
      </w:r>
      <w:proofErr w:type="spellEnd"/>
      <w:r>
        <w:rPr>
          <w:lang w:val="de-DE"/>
        </w:rPr>
        <w:t xml:space="preserve">, </w:t>
      </w:r>
      <w:proofErr w:type="spellStart"/>
      <w:r>
        <w:rPr>
          <w:lang w:val="de-DE"/>
        </w:rPr>
        <w:t>sermo</w:t>
      </w:r>
      <w:proofErr w:type="spellEnd"/>
      <w:r>
        <w:rPr>
          <w:lang w:val="de-DE"/>
        </w:rPr>
        <w:t xml:space="preserve"> XII, Opera VI-1, 127,3ff.) (83)</w:t>
      </w:r>
    </w:p>
    <w:p w14:paraId="415452AA" w14:textId="77777777" w:rsidR="00165510" w:rsidRDefault="00165510">
      <w:pPr>
        <w:rPr>
          <w:lang w:val="de-DE"/>
        </w:rPr>
      </w:pPr>
      <w:r>
        <w:rPr>
          <w:lang w:val="de-DE"/>
        </w:rPr>
        <w:t xml:space="preserve">„Die erste und grundlegende Aufgabe des Menschen, der zur Höhe des Wissens strebt, ist: Sich-selbst-Erkennen. ‚Große Höhe des Wissens ist es, sich selbst vollendet zu kennen. Ein großer und hoher Berg ist die vollkommene Erkenntnis des vernünftigen Geistes‘. Ganz im </w:t>
      </w:r>
      <w:proofErr w:type="spellStart"/>
      <w:r>
        <w:rPr>
          <w:lang w:val="de-DE"/>
        </w:rPr>
        <w:t>sinne</w:t>
      </w:r>
      <w:proofErr w:type="spellEnd"/>
      <w:r>
        <w:rPr>
          <w:lang w:val="de-DE"/>
        </w:rPr>
        <w:t xml:space="preserve"> des augustinischen </w:t>
      </w:r>
      <w:proofErr w:type="spellStart"/>
      <w:r>
        <w:rPr>
          <w:lang w:val="de-DE"/>
        </w:rPr>
        <w:t>Antiphysizismus</w:t>
      </w:r>
      <w:proofErr w:type="spellEnd"/>
      <w:r>
        <w:rPr>
          <w:lang w:val="de-DE"/>
        </w:rPr>
        <w:t xml:space="preserve"> wird die Selbsterkenntnis gegen das kosmologisch orientierte Wissen der Antike (Platons und Aristoteles‘) ausgespielt; solche Erkenntnisse sind bloße ‚Hügel des </w:t>
      </w:r>
      <w:proofErr w:type="spellStart"/>
      <w:r>
        <w:rPr>
          <w:lang w:val="de-DE"/>
        </w:rPr>
        <w:t>Geschöpflichen</w:t>
      </w:r>
      <w:proofErr w:type="spellEnd"/>
      <w:r>
        <w:rPr>
          <w:lang w:val="de-DE"/>
        </w:rPr>
        <w:t>‘</w:t>
      </w:r>
      <w:r w:rsidR="00524450">
        <w:rPr>
          <w:lang w:val="de-DE"/>
        </w:rPr>
        <w:t xml:space="preserve">. Die antiken Philosophen hätten besser den Berg ihres scharfsinnigen Geistes bestiegen als Götzen zu dienen. Der Mensch </w:t>
      </w:r>
      <w:proofErr w:type="spellStart"/>
      <w:r w:rsidR="00524450">
        <w:rPr>
          <w:lang w:val="de-DE"/>
        </w:rPr>
        <w:t>muß</w:t>
      </w:r>
      <w:proofErr w:type="spellEnd"/>
      <w:r w:rsidR="00524450">
        <w:rPr>
          <w:lang w:val="de-DE"/>
        </w:rPr>
        <w:t xml:space="preserve"> also lernen, über sich selbst nachzudenken. Nicht als Selbstzweck! Denn: ‚Je mehr du täglich fortschreitest in der Selbsterkenntnis, um so mehr gelangst du über dich hinaus.‘“ (Richard von St. Viktor) (85)</w:t>
      </w:r>
    </w:p>
    <w:p w14:paraId="5AF42038" w14:textId="77777777" w:rsidR="00524450" w:rsidRDefault="00524450">
      <w:pPr>
        <w:rPr>
          <w:lang w:val="de-DE"/>
        </w:rPr>
      </w:pPr>
      <w:r>
        <w:rPr>
          <w:lang w:val="de-DE"/>
        </w:rPr>
        <w:t xml:space="preserve">„Wenn wir nach dem Grund dieser hohen Achtung der Selbsterkenntnis fragen, drängt sich die augustinische Antwort von selber auf. Das menschliche Selbst ist Gottes Ebenbild, der innere Mensch ist der beste Spiegel Gottes. Dem Menschen ist daher nichts dringlicher als die Reinigung dieses Spiegels, d.h. des vernünftigen Geistes.“ (86) </w:t>
      </w:r>
    </w:p>
    <w:p w14:paraId="6284E3BA" w14:textId="77777777" w:rsidR="00165510" w:rsidRDefault="00165510">
      <w:pPr>
        <w:rPr>
          <w:lang w:val="de-DE"/>
        </w:rPr>
      </w:pPr>
    </w:p>
    <w:p w14:paraId="1F21392E" w14:textId="77777777" w:rsidR="00165510" w:rsidRDefault="00165510">
      <w:pPr>
        <w:rPr>
          <w:lang w:val="de-DE"/>
        </w:rPr>
      </w:pPr>
    </w:p>
    <w:p w14:paraId="589B4EAF" w14:textId="77777777" w:rsidR="00165510" w:rsidRDefault="00165510">
      <w:pPr>
        <w:rPr>
          <w:lang w:val="de-DE"/>
        </w:rPr>
      </w:pPr>
    </w:p>
    <w:p w14:paraId="59267986" w14:textId="77777777" w:rsidR="00165510" w:rsidRDefault="00165510">
      <w:pPr>
        <w:rPr>
          <w:lang w:val="de-DE"/>
        </w:rPr>
      </w:pPr>
    </w:p>
    <w:p w14:paraId="3410DD60" w14:textId="77777777" w:rsidR="00165510" w:rsidRDefault="00165510">
      <w:pPr>
        <w:rPr>
          <w:lang w:val="de-DE"/>
        </w:rPr>
      </w:pPr>
    </w:p>
    <w:p w14:paraId="06098199" w14:textId="77777777" w:rsidR="00165510" w:rsidRDefault="00165510">
      <w:pPr>
        <w:rPr>
          <w:lang w:val="de-DE"/>
        </w:rPr>
      </w:pPr>
    </w:p>
    <w:p w14:paraId="35BD7644" w14:textId="77777777" w:rsidR="00165510" w:rsidRDefault="00165510">
      <w:pPr>
        <w:rPr>
          <w:lang w:val="de-DE"/>
        </w:rPr>
      </w:pPr>
    </w:p>
    <w:p w14:paraId="406EE492" w14:textId="77777777" w:rsidR="00165510" w:rsidRDefault="00165510">
      <w:pPr>
        <w:rPr>
          <w:lang w:val="de-DE"/>
        </w:rPr>
      </w:pPr>
    </w:p>
    <w:p w14:paraId="79439505" w14:textId="77777777" w:rsidR="00165510" w:rsidRDefault="00165510">
      <w:pPr>
        <w:rPr>
          <w:lang w:val="de-DE"/>
        </w:rPr>
      </w:pPr>
    </w:p>
    <w:p w14:paraId="30B8D4CF" w14:textId="77777777" w:rsidR="00165510" w:rsidRDefault="00165510">
      <w:pPr>
        <w:rPr>
          <w:lang w:val="de-DE"/>
        </w:rPr>
      </w:pPr>
    </w:p>
    <w:p w14:paraId="3DC8C392" w14:textId="77777777" w:rsidR="00165510" w:rsidRDefault="00165510">
      <w:pPr>
        <w:rPr>
          <w:lang w:val="de-DE"/>
        </w:rPr>
      </w:pPr>
    </w:p>
    <w:p w14:paraId="5A037E9F" w14:textId="77777777" w:rsidR="00165510" w:rsidRDefault="00165510">
      <w:pPr>
        <w:rPr>
          <w:lang w:val="de-DE"/>
        </w:rPr>
      </w:pPr>
    </w:p>
    <w:p w14:paraId="531D77A5" w14:textId="77777777" w:rsidR="00165510" w:rsidRDefault="00165510">
      <w:pPr>
        <w:rPr>
          <w:lang w:val="de-DE"/>
        </w:rPr>
      </w:pPr>
    </w:p>
    <w:p w14:paraId="2C83E5A3" w14:textId="77777777" w:rsidR="00165510" w:rsidRDefault="00165510">
      <w:pPr>
        <w:rPr>
          <w:lang w:val="de-DE"/>
        </w:rPr>
      </w:pPr>
    </w:p>
    <w:p w14:paraId="5B0D58E2" w14:textId="77777777" w:rsidR="00165510" w:rsidRDefault="00165510">
      <w:pPr>
        <w:rPr>
          <w:lang w:val="de-DE"/>
        </w:rPr>
      </w:pPr>
    </w:p>
    <w:p w14:paraId="2A17B88F" w14:textId="77777777" w:rsidR="00165510" w:rsidRDefault="00165510">
      <w:pPr>
        <w:rPr>
          <w:lang w:val="de-DE"/>
        </w:rPr>
      </w:pPr>
    </w:p>
    <w:p w14:paraId="6B101359" w14:textId="77777777" w:rsidR="00165510" w:rsidRDefault="00165510">
      <w:pPr>
        <w:rPr>
          <w:lang w:val="de-DE"/>
        </w:rPr>
      </w:pPr>
    </w:p>
    <w:p w14:paraId="62C32F85" w14:textId="77777777" w:rsidR="00165510" w:rsidRDefault="00165510">
      <w:pPr>
        <w:rPr>
          <w:lang w:val="de-DE"/>
        </w:rPr>
      </w:pPr>
    </w:p>
    <w:p w14:paraId="7502FA9F" w14:textId="77777777" w:rsidR="00165510" w:rsidRDefault="00165510">
      <w:pPr>
        <w:rPr>
          <w:lang w:val="de-DE"/>
        </w:rPr>
      </w:pPr>
    </w:p>
    <w:p w14:paraId="0E55A8E4" w14:textId="77777777" w:rsidR="00165510" w:rsidRDefault="00165510">
      <w:pPr>
        <w:rPr>
          <w:lang w:val="de-DE"/>
        </w:rPr>
      </w:pPr>
    </w:p>
    <w:p w14:paraId="073CE183" w14:textId="77777777" w:rsidR="00165510" w:rsidRPr="004229DA" w:rsidRDefault="00165510">
      <w:pPr>
        <w:rPr>
          <w:lang w:val="de-DE"/>
        </w:rPr>
      </w:pPr>
    </w:p>
    <w:sectPr w:rsidR="00165510" w:rsidRPr="004229D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9DA"/>
    <w:rsid w:val="001231ED"/>
    <w:rsid w:val="00165510"/>
    <w:rsid w:val="00395CDE"/>
    <w:rsid w:val="004229DA"/>
    <w:rsid w:val="00524450"/>
    <w:rsid w:val="0055526E"/>
    <w:rsid w:val="00635244"/>
    <w:rsid w:val="006E0AF6"/>
    <w:rsid w:val="00994697"/>
    <w:rsid w:val="00B74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447D1D"/>
  <w14:defaultImageDpi w14:val="32767"/>
  <w15:chartTrackingRefBased/>
  <w15:docId w15:val="{E5C677B7-FA02-F342-8AF7-195DF9E1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4726"/>
    <w:pPr>
      <w:spacing w:before="100" w:beforeAutospacing="1" w:after="100" w:afterAutospacing="1"/>
    </w:pPr>
    <w:rPr>
      <w:rFonts w:ascii="Times New Roman" w:eastAsia="Times New Roman" w:hAnsi="Times New Roman"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495991">
      <w:bodyDiv w:val="1"/>
      <w:marLeft w:val="0"/>
      <w:marRight w:val="0"/>
      <w:marTop w:val="0"/>
      <w:marBottom w:val="0"/>
      <w:divBdr>
        <w:top w:val="none" w:sz="0" w:space="0" w:color="auto"/>
        <w:left w:val="none" w:sz="0" w:space="0" w:color="auto"/>
        <w:bottom w:val="none" w:sz="0" w:space="0" w:color="auto"/>
        <w:right w:val="none" w:sz="0" w:space="0" w:color="auto"/>
      </w:divBdr>
      <w:divsChild>
        <w:div w:id="1282571189">
          <w:marLeft w:val="0"/>
          <w:marRight w:val="0"/>
          <w:marTop w:val="0"/>
          <w:marBottom w:val="0"/>
          <w:divBdr>
            <w:top w:val="none" w:sz="0" w:space="0" w:color="auto"/>
            <w:left w:val="none" w:sz="0" w:space="0" w:color="auto"/>
            <w:bottom w:val="none" w:sz="0" w:space="0" w:color="auto"/>
            <w:right w:val="none" w:sz="0" w:space="0" w:color="auto"/>
          </w:divBdr>
          <w:divsChild>
            <w:div w:id="700476926">
              <w:marLeft w:val="0"/>
              <w:marRight w:val="0"/>
              <w:marTop w:val="0"/>
              <w:marBottom w:val="0"/>
              <w:divBdr>
                <w:top w:val="none" w:sz="0" w:space="0" w:color="auto"/>
                <w:left w:val="none" w:sz="0" w:space="0" w:color="auto"/>
                <w:bottom w:val="none" w:sz="0" w:space="0" w:color="auto"/>
                <w:right w:val="none" w:sz="0" w:space="0" w:color="auto"/>
              </w:divBdr>
              <w:divsChild>
                <w:div w:id="473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2019-04-22T22:25:00Z</dcterms:created>
  <dcterms:modified xsi:type="dcterms:W3CDTF">2019-05-27T12:58:00Z</dcterms:modified>
</cp:coreProperties>
</file>