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E7066D" w:rsidRDefault="00E7066D">
      <w:pPr>
        <w:rPr>
          <w:b/>
          <w:lang w:val="de-DE"/>
        </w:rPr>
      </w:pPr>
      <w:bookmarkStart w:id="0" w:name="_GoBack"/>
      <w:r w:rsidRPr="00E7066D">
        <w:rPr>
          <w:b/>
          <w:lang w:val="de-DE"/>
        </w:rPr>
        <w:t xml:space="preserve">J. </w:t>
      </w:r>
      <w:proofErr w:type="spellStart"/>
      <w:r w:rsidRPr="00E7066D">
        <w:rPr>
          <w:b/>
          <w:lang w:val="de-DE"/>
        </w:rPr>
        <w:t>Goetzmann</w:t>
      </w:r>
      <w:proofErr w:type="spellEnd"/>
      <w:r w:rsidRPr="00E7066D">
        <w:rPr>
          <w:b/>
          <w:lang w:val="de-DE"/>
        </w:rPr>
        <w:t>: [</w:t>
      </w:r>
      <w:proofErr w:type="spellStart"/>
      <w:r w:rsidRPr="00E7066D">
        <w:rPr>
          <w:b/>
          <w:lang w:val="de-DE"/>
        </w:rPr>
        <w:t>metanoeo</w:t>
      </w:r>
      <w:proofErr w:type="spellEnd"/>
      <w:r w:rsidRPr="00E7066D">
        <w:rPr>
          <w:b/>
          <w:lang w:val="de-DE"/>
        </w:rPr>
        <w:t xml:space="preserve">], 234-236, in: Buße/Bekehrung. In: Lothar Coenen, Klaus </w:t>
      </w:r>
      <w:proofErr w:type="spellStart"/>
      <w:r w:rsidRPr="00E7066D">
        <w:rPr>
          <w:b/>
          <w:lang w:val="de-DE"/>
        </w:rPr>
        <w:t>Haacker</w:t>
      </w:r>
      <w:proofErr w:type="spellEnd"/>
      <w:r w:rsidRPr="00E7066D">
        <w:rPr>
          <w:b/>
          <w:lang w:val="de-DE"/>
        </w:rPr>
        <w:t xml:space="preserve"> (</w:t>
      </w:r>
      <w:proofErr w:type="spellStart"/>
      <w:r w:rsidRPr="00E7066D">
        <w:rPr>
          <w:b/>
          <w:lang w:val="de-DE"/>
        </w:rPr>
        <w:t>Hg</w:t>
      </w:r>
      <w:proofErr w:type="spellEnd"/>
      <w:r w:rsidRPr="00E7066D">
        <w:rPr>
          <w:b/>
          <w:lang w:val="de-DE"/>
        </w:rPr>
        <w:t xml:space="preserve">.): Theologisches Begriffslexikon zum Neuen Testament. Witten: Brockhaus, 2010, 230-238. </w:t>
      </w:r>
    </w:p>
    <w:bookmarkEnd w:id="0"/>
    <w:p w:rsidR="00E7066D" w:rsidRDefault="00E7066D">
      <w:pPr>
        <w:rPr>
          <w:lang w:val="de-DE"/>
        </w:rPr>
      </w:pPr>
    </w:p>
    <w:p w:rsidR="00E7066D" w:rsidRPr="00E7066D" w:rsidRDefault="00E7066D">
      <w:pPr>
        <w:rPr>
          <w:lang w:val="de-DE"/>
        </w:rPr>
      </w:pPr>
      <w:r>
        <w:rPr>
          <w:lang w:val="de-DE"/>
        </w:rPr>
        <w:t>„Das NT folgt nicht der Praxis der LXX, sondern gebraucht [</w:t>
      </w:r>
      <w:proofErr w:type="spellStart"/>
      <w:r>
        <w:rPr>
          <w:lang w:val="de-DE"/>
        </w:rPr>
        <w:t>metanoeo</w:t>
      </w:r>
      <w:proofErr w:type="spellEnd"/>
      <w:r>
        <w:rPr>
          <w:lang w:val="de-DE"/>
        </w:rPr>
        <w:t xml:space="preserve">], um den Gedankeninhalt des </w:t>
      </w:r>
      <w:proofErr w:type="spellStart"/>
      <w:r>
        <w:rPr>
          <w:lang w:val="de-DE"/>
        </w:rPr>
        <w:t>hebr.</w:t>
      </w:r>
      <w:proofErr w:type="spellEnd"/>
      <w:r>
        <w:rPr>
          <w:lang w:val="de-DE"/>
        </w:rPr>
        <w:t xml:space="preserve"> [</w:t>
      </w:r>
      <w:proofErr w:type="spellStart"/>
      <w:r w:rsidRPr="00E7066D">
        <w:rPr>
          <w:i/>
          <w:lang w:val="de-DE"/>
        </w:rPr>
        <w:t>sub</w:t>
      </w:r>
      <w:proofErr w:type="spellEnd"/>
      <w:r>
        <w:rPr>
          <w:lang w:val="de-DE"/>
        </w:rPr>
        <w:t xml:space="preserve">], </w:t>
      </w:r>
      <w:r w:rsidRPr="00E7066D">
        <w:rPr>
          <w:i/>
          <w:lang w:val="de-DE"/>
        </w:rPr>
        <w:t>umkehren</w:t>
      </w:r>
      <w:r>
        <w:rPr>
          <w:lang w:val="de-DE"/>
        </w:rPr>
        <w:t xml:space="preserve">, wiederzugeben. […] so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sich die neue Bedeutung </w:t>
      </w:r>
      <w:r w:rsidRPr="00E7066D">
        <w:rPr>
          <w:i/>
          <w:lang w:val="de-DE"/>
        </w:rPr>
        <w:t>Buße tun, sich bekehren, umdenken</w:t>
      </w:r>
      <w:r>
        <w:rPr>
          <w:lang w:val="de-DE"/>
        </w:rPr>
        <w:t xml:space="preserve"> bzw. </w:t>
      </w:r>
      <w:r w:rsidRPr="00E7066D">
        <w:rPr>
          <w:i/>
          <w:lang w:val="de-DE"/>
        </w:rPr>
        <w:t>Buße, Umkehr, Bekehrung, Umdenken, Gesinnungswandel</w:t>
      </w:r>
      <w:r>
        <w:rPr>
          <w:lang w:val="de-DE"/>
        </w:rPr>
        <w:t xml:space="preserve"> ergibt. […] Jedoch hat der Wechsel des Wortes keine </w:t>
      </w:r>
      <w:proofErr w:type="spellStart"/>
      <w:r>
        <w:rPr>
          <w:lang w:val="de-DE"/>
        </w:rPr>
        <w:t>Intellektualisierung</w:t>
      </w:r>
      <w:proofErr w:type="spellEnd"/>
      <w:r>
        <w:rPr>
          <w:lang w:val="de-DE"/>
        </w:rPr>
        <w:t xml:space="preserve"> des Begriffs der Umkehr zur Folge. Vielmehr ist eine ganzheitliche Entscheidung gemeint, die weder eine bloß äußerliche Verhaltensänderung noch ein rein innerlicher Gesinnungswandel ist.“ (234) </w:t>
      </w:r>
    </w:p>
    <w:sectPr w:rsidR="00E7066D" w:rsidRPr="00E7066D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66D"/>
    <w:rsid w:val="001231ED"/>
    <w:rsid w:val="00395CDE"/>
    <w:rsid w:val="0055526E"/>
    <w:rsid w:val="00635244"/>
    <w:rsid w:val="006E0AF6"/>
    <w:rsid w:val="00E7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1D19B20D-6679-5C4B-83EA-5A3160924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2019-06-13T15:06:00Z</dcterms:created>
  <dcterms:modified xsi:type="dcterms:W3CDTF">2019-06-13T15:14:00Z</dcterms:modified>
</cp:coreProperties>
</file>