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1F6C27" w:rsidRDefault="00A91276">
      <w:pPr>
        <w:rPr>
          <w:b/>
          <w:lang w:val="de-DE"/>
        </w:rPr>
      </w:pPr>
      <w:r w:rsidRPr="001F6C27">
        <w:rPr>
          <w:b/>
          <w:lang w:val="de-DE"/>
        </w:rPr>
        <w:t xml:space="preserve">Jochen </w:t>
      </w:r>
      <w:proofErr w:type="spellStart"/>
      <w:r w:rsidRPr="001F6C27">
        <w:rPr>
          <w:b/>
          <w:lang w:val="de-DE"/>
        </w:rPr>
        <w:t>Gimmel</w:t>
      </w:r>
      <w:proofErr w:type="spellEnd"/>
      <w:r w:rsidRPr="001F6C27">
        <w:rPr>
          <w:b/>
          <w:lang w:val="de-DE"/>
        </w:rPr>
        <w:t xml:space="preserve">/Tobias </w:t>
      </w:r>
      <w:proofErr w:type="spellStart"/>
      <w:r w:rsidRPr="001F6C27">
        <w:rPr>
          <w:b/>
          <w:lang w:val="de-DE"/>
        </w:rPr>
        <w:t>Keiling</w:t>
      </w:r>
      <w:proofErr w:type="spellEnd"/>
      <w:r w:rsidRPr="001F6C27">
        <w:rPr>
          <w:b/>
          <w:lang w:val="de-DE"/>
        </w:rPr>
        <w:t>: Konzepte der Muße. Tübingen: Mohr Siebeck, 2016.</w:t>
      </w:r>
    </w:p>
    <w:p w:rsidR="00A91276" w:rsidRDefault="00A91276">
      <w:pPr>
        <w:rPr>
          <w:lang w:val="de-DE"/>
        </w:rPr>
      </w:pPr>
    </w:p>
    <w:p w:rsidR="00A91276" w:rsidRDefault="00A91276">
      <w:pPr>
        <w:rPr>
          <w:lang w:val="de-DE"/>
        </w:rPr>
      </w:pPr>
      <w:r>
        <w:rPr>
          <w:lang w:val="de-DE"/>
        </w:rPr>
        <w:t>„Die rastlose Betriebsamkeit, die immer wieder als Charakteristikum der modernen Lebenswelt angeführt wird, betrifft aber nicht bloß das Erwerbsleben. Vielmehr scheint der gesamten Lebensführung die Muße zu fehlen.“ (1)</w:t>
      </w:r>
    </w:p>
    <w:p w:rsidR="00A91276" w:rsidRDefault="00A91276">
      <w:pPr>
        <w:rPr>
          <w:lang w:val="de-DE"/>
        </w:rPr>
      </w:pPr>
      <w:r>
        <w:rPr>
          <w:lang w:val="de-DE"/>
        </w:rPr>
        <w:t>„Produktivität und Leistung zum Selbstzweck erklärt“ (1)</w:t>
      </w:r>
    </w:p>
    <w:p w:rsidR="00F213C1" w:rsidRDefault="00F213C1">
      <w:pPr>
        <w:rPr>
          <w:lang w:val="de-DE"/>
        </w:rPr>
      </w:pPr>
      <w:r>
        <w:rPr>
          <w:lang w:val="de-DE"/>
        </w:rPr>
        <w:t xml:space="preserve">„so ist Muße die Möglichkeit, etwas in besonders sachgemäßer Weise zu tun. </w:t>
      </w:r>
      <w:r w:rsidRPr="00F213C1">
        <w:rPr>
          <w:i/>
          <w:lang w:val="de-DE"/>
        </w:rPr>
        <w:t>Muße und Handeln</w:t>
      </w:r>
      <w:r>
        <w:rPr>
          <w:lang w:val="de-DE"/>
        </w:rPr>
        <w:t xml:space="preserve"> stehen also nicht in einem Gegensatz zueinander, so als hieße, in Muße zu sein, nichts zu tun.“ (4) </w:t>
      </w:r>
    </w:p>
    <w:p w:rsidR="000D7A67" w:rsidRDefault="000D7A67">
      <w:pPr>
        <w:rPr>
          <w:lang w:val="de-DE"/>
        </w:rPr>
      </w:pPr>
      <w:r>
        <w:rPr>
          <w:lang w:val="de-DE"/>
        </w:rPr>
        <w:t xml:space="preserve">„Dies ist gleichbedeutend mit der Erfahrung eines </w:t>
      </w:r>
      <w:r w:rsidRPr="000D7A67">
        <w:rPr>
          <w:i/>
          <w:lang w:val="de-DE"/>
        </w:rPr>
        <w:t>Freiraums</w:t>
      </w:r>
      <w:r>
        <w:rPr>
          <w:lang w:val="de-DE"/>
        </w:rPr>
        <w:t xml:space="preserve"> und </w:t>
      </w:r>
      <w:r w:rsidRPr="000D7A67">
        <w:rPr>
          <w:i/>
          <w:lang w:val="de-DE"/>
        </w:rPr>
        <w:t>Möglichkeitsraums</w:t>
      </w:r>
      <w:r>
        <w:rPr>
          <w:lang w:val="de-DE"/>
        </w:rPr>
        <w:t>, in dem die Möglichkeitsbedingung wirklich selbstbestimmten und freien Handelns gelegen ist.“ (7)</w:t>
      </w:r>
    </w:p>
    <w:p w:rsidR="000D7A67" w:rsidRDefault="000D7A67">
      <w:pPr>
        <w:rPr>
          <w:lang w:val="de-DE"/>
        </w:rPr>
      </w:pPr>
      <w:r>
        <w:rPr>
          <w:lang w:val="de-DE"/>
        </w:rPr>
        <w:t xml:space="preserve">„Ein Tun in Muße ist dabei ein selbstzweckhaftes Tun, das sich durch reine Gegenwärtigkeit auszeichnet und sich paradigmatisch in dem einstellt, was Aristoteles </w:t>
      </w:r>
      <w:r w:rsidRPr="000D7A67">
        <w:rPr>
          <w:i/>
          <w:lang w:val="de-DE"/>
        </w:rPr>
        <w:t>Kontemplation</w:t>
      </w:r>
      <w:r>
        <w:rPr>
          <w:lang w:val="de-DE"/>
        </w:rPr>
        <w:t xml:space="preserve"> ([…], </w:t>
      </w:r>
      <w:proofErr w:type="spellStart"/>
      <w:r w:rsidRPr="000D7A67">
        <w:rPr>
          <w:i/>
          <w:lang w:val="de-DE"/>
        </w:rPr>
        <w:t>theoria</w:t>
      </w:r>
      <w:proofErr w:type="spellEnd"/>
      <w:r>
        <w:rPr>
          <w:lang w:val="de-DE"/>
        </w:rPr>
        <w:t>) nennt. […] Im Kontrast zur modernen Hierarchisierung versteht die Antike Muße nicht als das Andere der Arbeit, sondern Arbeit als das Negativum der Muße. Was wir heute ‚Arbeit‘ nennen, ist ‚</w:t>
      </w:r>
      <w:proofErr w:type="spellStart"/>
      <w:r>
        <w:rPr>
          <w:lang w:val="de-DE"/>
        </w:rPr>
        <w:t>Un</w:t>
      </w:r>
      <w:proofErr w:type="spellEnd"/>
      <w:r>
        <w:rPr>
          <w:lang w:val="de-DE"/>
        </w:rPr>
        <w:t>-Muße‘ (</w:t>
      </w:r>
      <w:proofErr w:type="spellStart"/>
      <w:r w:rsidRPr="000D7A67">
        <w:rPr>
          <w:i/>
          <w:lang w:val="de-DE"/>
        </w:rPr>
        <w:t>neg</w:t>
      </w:r>
      <w:proofErr w:type="spellEnd"/>
      <w:r w:rsidRPr="000D7A67">
        <w:rPr>
          <w:i/>
          <w:lang w:val="de-DE"/>
        </w:rPr>
        <w:t>-otium</w:t>
      </w:r>
      <w:r>
        <w:rPr>
          <w:lang w:val="de-DE"/>
        </w:rPr>
        <w:t xml:space="preserve">, </w:t>
      </w:r>
      <w:r w:rsidRPr="000D7A67">
        <w:rPr>
          <w:i/>
          <w:lang w:val="de-DE"/>
        </w:rPr>
        <w:t>a-</w:t>
      </w:r>
      <w:proofErr w:type="spellStart"/>
      <w:r w:rsidRPr="000D7A67">
        <w:rPr>
          <w:i/>
          <w:lang w:val="de-DE"/>
        </w:rPr>
        <w:t>scholia</w:t>
      </w:r>
      <w:proofErr w:type="spellEnd"/>
      <w:r>
        <w:rPr>
          <w:lang w:val="de-DE"/>
        </w:rPr>
        <w:t xml:space="preserve">).“ (12) </w:t>
      </w:r>
    </w:p>
    <w:p w:rsidR="000D7A67" w:rsidRDefault="000D7A67">
      <w:pPr>
        <w:rPr>
          <w:lang w:val="de-DE"/>
        </w:rPr>
      </w:pPr>
      <w:r>
        <w:rPr>
          <w:lang w:val="de-DE"/>
        </w:rPr>
        <w:t>„Der Begriff ‚Muße‘ wurde in der griechischen und römischen Antike konzeptionell</w:t>
      </w:r>
      <w:r w:rsidR="00192952">
        <w:rPr>
          <w:lang w:val="de-DE"/>
        </w:rPr>
        <w:t xml:space="preserve"> (zumindest in der maßgeblichen platonisch-aristotelischen Tradition) als freie – und das heißt selbstbestimmte – Zeit zur Entfaltung persönlicher Fähigkeiten in Bildung, Kultur und Politik verstanden und galt zugleich als zentrale Grundlage einer vernünftigen Einrichtung des </w:t>
      </w:r>
      <w:proofErr w:type="spellStart"/>
      <w:r w:rsidR="00192952">
        <w:rPr>
          <w:lang w:val="de-DE"/>
        </w:rPr>
        <w:t>Gemeinswesens</w:t>
      </w:r>
      <w:proofErr w:type="spellEnd"/>
      <w:r w:rsidR="00192952">
        <w:rPr>
          <w:lang w:val="de-DE"/>
        </w:rPr>
        <w:t xml:space="preserve">.“ (15) </w:t>
      </w:r>
    </w:p>
    <w:p w:rsidR="00192952" w:rsidRDefault="00192952">
      <w:pPr>
        <w:rPr>
          <w:lang w:val="de-DE"/>
        </w:rPr>
      </w:pPr>
      <w:r>
        <w:rPr>
          <w:lang w:val="de-DE"/>
        </w:rPr>
        <w:t>„</w:t>
      </w:r>
      <w:r w:rsidRPr="00192952">
        <w:rPr>
          <w:i/>
          <w:lang w:val="de-DE"/>
        </w:rPr>
        <w:t>Frei ist, wer keine Freizeit benötigt</w:t>
      </w:r>
      <w:r>
        <w:rPr>
          <w:lang w:val="de-DE"/>
        </w:rPr>
        <w:t xml:space="preserve">.“ (17) </w:t>
      </w:r>
    </w:p>
    <w:p w:rsidR="00635D3A" w:rsidRDefault="00192952" w:rsidP="00635D3A">
      <w:pPr>
        <w:rPr>
          <w:lang w:val="de-DE"/>
        </w:rPr>
      </w:pPr>
      <w:r>
        <w:rPr>
          <w:lang w:val="de-DE"/>
        </w:rPr>
        <w:t xml:space="preserve">„Arbeitsverweigerung, Faulheit und Nichtstun – Müßiggang“ (20) </w:t>
      </w:r>
    </w:p>
    <w:p w:rsidR="00635D3A" w:rsidRDefault="00721D97" w:rsidP="00635D3A">
      <w:pPr>
        <w:rPr>
          <w:lang w:val="de-DE"/>
        </w:rPr>
      </w:pPr>
      <w:r>
        <w:rPr>
          <w:lang w:val="de-DE"/>
        </w:rPr>
        <w:t xml:space="preserve">„Etwas zu </w:t>
      </w:r>
      <w:r w:rsidRPr="00D32DC9">
        <w:rPr>
          <w:i/>
          <w:lang w:val="de-DE"/>
        </w:rPr>
        <w:t>lassen</w:t>
      </w:r>
      <w:r>
        <w:rPr>
          <w:lang w:val="de-DE"/>
        </w:rPr>
        <w:t xml:space="preserve">, bedeutet keinen Verzicht auf das Tun; gemeint ist vielmehr ein Sein- und </w:t>
      </w:r>
      <w:proofErr w:type="spellStart"/>
      <w:r>
        <w:rPr>
          <w:lang w:val="de-DE"/>
        </w:rPr>
        <w:t>Geltenlassen</w:t>
      </w:r>
      <w:proofErr w:type="spellEnd"/>
      <w:r>
        <w:rPr>
          <w:lang w:val="de-DE"/>
        </w:rPr>
        <w:t xml:space="preserve">, </w:t>
      </w:r>
      <w:proofErr w:type="gramStart"/>
      <w:r>
        <w:rPr>
          <w:lang w:val="de-DE"/>
        </w:rPr>
        <w:t>das</w:t>
      </w:r>
      <w:proofErr w:type="gramEnd"/>
      <w:r>
        <w:rPr>
          <w:lang w:val="de-DE"/>
        </w:rPr>
        <w:t xml:space="preserve"> vor der Unterscheidung von Tun und </w:t>
      </w:r>
      <w:r w:rsidRPr="00D32DC9">
        <w:rPr>
          <w:i/>
          <w:lang w:val="de-DE"/>
        </w:rPr>
        <w:t>Unterlassen</w:t>
      </w:r>
      <w:r>
        <w:rPr>
          <w:lang w:val="de-DE"/>
        </w:rPr>
        <w:t xml:space="preserve"> (als dem Gegensatz des Tuns) liegt. Etwas in diesem Sinne zu lassen, bedeutet auch, das eigen Tu geschehen zu lassen.“ (43) </w:t>
      </w:r>
    </w:p>
    <w:p w:rsidR="00D32DC9" w:rsidRPr="00721D97" w:rsidRDefault="00D32DC9" w:rsidP="00635D3A">
      <w:pPr>
        <w:rPr>
          <w:lang w:val="de-DE"/>
        </w:rPr>
      </w:pPr>
      <w:r>
        <w:rPr>
          <w:lang w:val="de-DE"/>
        </w:rPr>
        <w:t>„</w:t>
      </w:r>
      <w:r w:rsidRPr="00D32DC9">
        <w:rPr>
          <w:i/>
          <w:lang w:val="de-DE"/>
        </w:rPr>
        <w:t>Lassen</w:t>
      </w:r>
      <w:r>
        <w:rPr>
          <w:lang w:val="de-DE"/>
        </w:rPr>
        <w:t xml:space="preserve"> als Handlungsmodus steht in größtmöglichem Kontrast zum </w:t>
      </w:r>
      <w:bookmarkStart w:id="0" w:name="_GoBack"/>
      <w:r w:rsidRPr="00D32DC9">
        <w:rPr>
          <w:i/>
          <w:lang w:val="de-DE"/>
        </w:rPr>
        <w:t>Machen</w:t>
      </w:r>
      <w:bookmarkEnd w:id="0"/>
      <w:r>
        <w:rPr>
          <w:lang w:val="de-DE"/>
        </w:rPr>
        <w:t xml:space="preserve">.“ (44) </w:t>
      </w:r>
    </w:p>
    <w:sectPr w:rsidR="00D32DC9" w:rsidRPr="00721D97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C2AD3"/>
    <w:multiLevelType w:val="hybridMultilevel"/>
    <w:tmpl w:val="21B0CB9E"/>
    <w:lvl w:ilvl="0" w:tplc="2FA417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76"/>
    <w:rsid w:val="000D7A67"/>
    <w:rsid w:val="001231ED"/>
    <w:rsid w:val="00192952"/>
    <w:rsid w:val="001F6C27"/>
    <w:rsid w:val="00395CDE"/>
    <w:rsid w:val="0055526E"/>
    <w:rsid w:val="00635244"/>
    <w:rsid w:val="00635D3A"/>
    <w:rsid w:val="006E0AF6"/>
    <w:rsid w:val="00721D97"/>
    <w:rsid w:val="00A32A22"/>
    <w:rsid w:val="00A91276"/>
    <w:rsid w:val="00D32DC9"/>
    <w:rsid w:val="00F2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050670"/>
  <w14:defaultImageDpi w14:val="32767"/>
  <w15:chartTrackingRefBased/>
  <w15:docId w15:val="{7A55F7FF-7733-7F45-9C92-B67D8AAA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5</cp:revision>
  <dcterms:created xsi:type="dcterms:W3CDTF">2019-11-26T13:09:00Z</dcterms:created>
  <dcterms:modified xsi:type="dcterms:W3CDTF">2019-11-27T13:03:00Z</dcterms:modified>
</cp:coreProperties>
</file>