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581CEF" w:rsidRDefault="00581CEF">
      <w:pPr>
        <w:rPr>
          <w:b/>
          <w:lang w:val="en-CA"/>
        </w:rPr>
      </w:pPr>
      <w:proofErr w:type="spellStart"/>
      <w:r w:rsidRPr="00581CEF">
        <w:rPr>
          <w:b/>
          <w:lang w:val="en-CA"/>
        </w:rPr>
        <w:t>Aloys</w:t>
      </w:r>
      <w:proofErr w:type="spellEnd"/>
      <w:r w:rsidRPr="00581CEF">
        <w:rPr>
          <w:b/>
          <w:lang w:val="en-CA"/>
        </w:rPr>
        <w:t xml:space="preserve"> H. Dirksen: The New Testament concept of Metanoia. Washington, D.C.: The Catholic University of America, 1932. </w:t>
      </w:r>
    </w:p>
    <w:p w:rsidR="00581CEF" w:rsidRDefault="00581CEF">
      <w:pPr>
        <w:rPr>
          <w:lang w:val="en-CA"/>
        </w:rPr>
      </w:pPr>
    </w:p>
    <w:p w:rsidR="00581CEF" w:rsidRDefault="001C7B1B">
      <w:pPr>
        <w:rPr>
          <w:lang w:val="en-CA"/>
        </w:rPr>
      </w:pPr>
      <w:r>
        <w:rPr>
          <w:lang w:val="en-CA"/>
        </w:rPr>
        <w:t>“</w:t>
      </w:r>
      <w:r w:rsidR="00C953A7">
        <w:rPr>
          <w:lang w:val="en-CA"/>
        </w:rPr>
        <w:t xml:space="preserve">It is significant that St. John the Baptist should epitomize his message in a simple call to </w:t>
      </w:r>
      <w:r w:rsidR="00C953A7" w:rsidRPr="00C953A7">
        <w:rPr>
          <w:i/>
          <w:lang w:val="en-CA"/>
        </w:rPr>
        <w:t>Metanoia</w:t>
      </w:r>
      <w:r w:rsidR="00C953A7">
        <w:rPr>
          <w:lang w:val="en-CA"/>
        </w:rPr>
        <w:t>. […] In this one word [</w:t>
      </w:r>
      <w:proofErr w:type="spellStart"/>
      <w:r w:rsidR="00C953A7">
        <w:rPr>
          <w:lang w:val="en-CA"/>
        </w:rPr>
        <w:t>metanoiete</w:t>
      </w:r>
      <w:proofErr w:type="spellEnd"/>
      <w:r w:rsidR="00C953A7">
        <w:rPr>
          <w:lang w:val="en-CA"/>
        </w:rPr>
        <w:t xml:space="preserve">] he summarized the whole of his preaching. […] </w:t>
      </w:r>
    </w:p>
    <w:p w:rsidR="00C953A7" w:rsidRDefault="00C953A7">
      <w:pPr>
        <w:rPr>
          <w:lang w:val="en-CA"/>
        </w:rPr>
      </w:pPr>
      <w:r>
        <w:rPr>
          <w:lang w:val="en-CA"/>
        </w:rPr>
        <w:t>The first message of Jesus was the same cry, [</w:t>
      </w:r>
      <w:proofErr w:type="spellStart"/>
      <w:r>
        <w:rPr>
          <w:lang w:val="en-CA"/>
        </w:rPr>
        <w:t>metanoiete</w:t>
      </w:r>
      <w:proofErr w:type="spellEnd"/>
      <w:r>
        <w:rPr>
          <w:lang w:val="en-CA"/>
        </w:rPr>
        <w:t xml:space="preserve">]. Before He enunciated any of the great truths He had come to preach, even before He declared that the Kingdom was at hand, He called the people to </w:t>
      </w:r>
      <w:r w:rsidRPr="00C953A7">
        <w:rPr>
          <w:i/>
          <w:lang w:val="en-CA"/>
        </w:rPr>
        <w:t>Metanoia</w:t>
      </w:r>
      <w:r>
        <w:rPr>
          <w:lang w:val="en-CA"/>
        </w:rPr>
        <w:t>. This was his mission</w:t>
      </w:r>
      <w:proofErr w:type="gramStart"/>
      <w:r>
        <w:rPr>
          <w:lang w:val="en-CA"/>
        </w:rPr>
        <w:t>.</w:t>
      </w:r>
      <w:r w:rsidR="00834613">
        <w:rPr>
          <w:lang w:val="en-CA"/>
        </w:rPr>
        <w:t xml:space="preserve"> </w:t>
      </w:r>
      <w:proofErr w:type="gramEnd"/>
      <w:r w:rsidR="00834613">
        <w:rPr>
          <w:lang w:val="en-CA"/>
        </w:rPr>
        <w:t>[…] Metanoia is an indispensable necessity</w:t>
      </w:r>
      <w:proofErr w:type="gramStart"/>
      <w:r w:rsidR="00834613">
        <w:rPr>
          <w:lang w:val="en-CA"/>
        </w:rPr>
        <w:t xml:space="preserve">. </w:t>
      </w:r>
      <w:proofErr w:type="gramEnd"/>
      <w:r w:rsidR="00834613">
        <w:rPr>
          <w:lang w:val="en-CA"/>
        </w:rPr>
        <w:t>‘No, I say to you; but unless you shall [</w:t>
      </w:r>
      <w:proofErr w:type="spellStart"/>
      <w:r w:rsidR="00834613">
        <w:rPr>
          <w:lang w:val="en-CA"/>
        </w:rPr>
        <w:t>metanoie</w:t>
      </w:r>
      <w:proofErr w:type="spellEnd"/>
      <w:r w:rsidR="00834613">
        <w:rPr>
          <w:lang w:val="en-CA"/>
        </w:rPr>
        <w:t>] you shall all likewise perish.’ [Lk</w:t>
      </w:r>
      <w:proofErr w:type="gramStart"/>
      <w:r w:rsidR="00834613">
        <w:rPr>
          <w:lang w:val="en-CA"/>
        </w:rPr>
        <w:t xml:space="preserve">. </w:t>
      </w:r>
      <w:proofErr w:type="gramEnd"/>
      <w:r w:rsidR="00834613">
        <w:rPr>
          <w:lang w:val="en-CA"/>
        </w:rPr>
        <w:t>XIII, 3, 5]</w:t>
      </w:r>
      <w:r>
        <w:rPr>
          <w:lang w:val="en-CA"/>
        </w:rPr>
        <w:t xml:space="preserve">” (1) </w:t>
      </w:r>
    </w:p>
    <w:p w:rsidR="00834613" w:rsidRDefault="00834613">
      <w:pPr>
        <w:rPr>
          <w:lang w:val="en-CA"/>
        </w:rPr>
      </w:pPr>
      <w:r>
        <w:rPr>
          <w:lang w:val="en-CA"/>
        </w:rPr>
        <w:t>“</w:t>
      </w:r>
      <w:r w:rsidRPr="00834613">
        <w:rPr>
          <w:i/>
          <w:lang w:val="en-CA"/>
        </w:rPr>
        <w:t>Metanoia</w:t>
      </w:r>
      <w:r>
        <w:rPr>
          <w:lang w:val="en-CA"/>
        </w:rPr>
        <w:t xml:space="preserve"> has to do with restoring man to the good graces of God and returning him to the divine friendship. </w:t>
      </w:r>
      <w:r w:rsidRPr="00834613">
        <w:rPr>
          <w:i/>
          <w:lang w:val="en-CA"/>
        </w:rPr>
        <w:t>Metanoia</w:t>
      </w:r>
      <w:r>
        <w:rPr>
          <w:lang w:val="en-CA"/>
        </w:rPr>
        <w:t xml:space="preserve">, therefore, is the determining factor in that relationship which is fundamental to all religion, the relationship between God and man.” (2) </w:t>
      </w:r>
    </w:p>
    <w:p w:rsidR="00462D88" w:rsidRDefault="00E72388">
      <w:pPr>
        <w:rPr>
          <w:lang w:val="en-CA"/>
        </w:rPr>
      </w:pPr>
      <w:r>
        <w:rPr>
          <w:lang w:val="en-CA"/>
        </w:rPr>
        <w:t xml:space="preserve">“As already mentioned modern interpretation of </w:t>
      </w:r>
      <w:r w:rsidRPr="00E72388">
        <w:rPr>
          <w:i/>
          <w:lang w:val="en-CA"/>
        </w:rPr>
        <w:t>Metanoia</w:t>
      </w:r>
      <w:r>
        <w:rPr>
          <w:lang w:val="en-CA"/>
        </w:rPr>
        <w:t xml:space="preserve"> is based chiefly on the etymological significance of [metanoia] and therefore Wrede writes that </w:t>
      </w:r>
      <w:proofErr w:type="spellStart"/>
      <w:r w:rsidRPr="00E72388">
        <w:rPr>
          <w:i/>
          <w:lang w:val="en-CA"/>
        </w:rPr>
        <w:t>Sinnesänderung</w:t>
      </w:r>
      <w:proofErr w:type="spellEnd"/>
      <w:r>
        <w:rPr>
          <w:lang w:val="en-CA"/>
        </w:rPr>
        <w:t xml:space="preserve"> is today reckoned as the only correct and scientific translation of the term” (82)</w:t>
      </w:r>
    </w:p>
    <w:p w:rsidR="00E72388" w:rsidRDefault="00E72388">
      <w:pPr>
        <w:rPr>
          <w:lang w:val="en-CA"/>
        </w:rPr>
      </w:pPr>
      <w:r>
        <w:rPr>
          <w:lang w:val="en-CA"/>
        </w:rPr>
        <w:t xml:space="preserve">“Some writers, though not many, see in </w:t>
      </w:r>
      <w:r w:rsidRPr="00E72388">
        <w:rPr>
          <w:i/>
          <w:lang w:val="en-CA"/>
        </w:rPr>
        <w:t>Metanoia</w:t>
      </w:r>
      <w:r>
        <w:rPr>
          <w:lang w:val="en-CA"/>
        </w:rPr>
        <w:t xml:space="preserve"> a purely intellectual change of mind. These interpret [nous] as the faculty of thought and </w:t>
      </w:r>
      <w:r w:rsidRPr="00E72388">
        <w:rPr>
          <w:i/>
          <w:lang w:val="en-CA"/>
        </w:rPr>
        <w:t>Metanoia</w:t>
      </w:r>
      <w:r>
        <w:rPr>
          <w:lang w:val="en-CA"/>
        </w:rPr>
        <w:t xml:space="preserve"> is then a changed thinking, a thinking differently afterward.” (82) </w:t>
      </w:r>
    </w:p>
    <w:p w:rsidR="00E72388" w:rsidRDefault="00E72388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Sinneswandlung</w:t>
      </w:r>
      <w:proofErr w:type="spellEnd"/>
      <w:r>
        <w:rPr>
          <w:lang w:val="en-CA"/>
        </w:rPr>
        <w:t xml:space="preserve">” (83) </w:t>
      </w:r>
    </w:p>
    <w:p w:rsidR="00E72388" w:rsidRDefault="00E72388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radikale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Umkehr</w:t>
      </w:r>
      <w:proofErr w:type="spellEnd"/>
      <w:r>
        <w:rPr>
          <w:lang w:val="en-CA"/>
        </w:rPr>
        <w:t xml:space="preserve"> und </w:t>
      </w:r>
      <w:proofErr w:type="spellStart"/>
      <w:r w:rsidRPr="00E72388">
        <w:rPr>
          <w:lang w:val="en-CA"/>
        </w:rPr>
        <w:t>Sinnesänderung</w:t>
      </w:r>
      <w:proofErr w:type="spellEnd"/>
      <w:r>
        <w:rPr>
          <w:lang w:val="en-CA"/>
        </w:rPr>
        <w:t xml:space="preserve">” (83) </w:t>
      </w:r>
    </w:p>
    <w:p w:rsidR="00E72388" w:rsidRDefault="00E72388">
      <w:pPr>
        <w:rPr>
          <w:lang w:val="de-DE"/>
        </w:rPr>
      </w:pPr>
      <w:r w:rsidRPr="00E72388">
        <w:rPr>
          <w:lang w:val="de-DE"/>
        </w:rPr>
        <w:t>“eine radikale Umkehr in der Ordnung der Triebfedern</w:t>
      </w:r>
      <w:r>
        <w:rPr>
          <w:lang w:val="de-DE"/>
        </w:rPr>
        <w:t xml:space="preserve"> und Maxime“ (84)</w:t>
      </w:r>
    </w:p>
    <w:p w:rsidR="00E72388" w:rsidRDefault="00E72388">
      <w:pPr>
        <w:rPr>
          <w:lang w:val="de-DE"/>
        </w:rPr>
      </w:pPr>
      <w:r>
        <w:rPr>
          <w:lang w:val="de-DE"/>
        </w:rPr>
        <w:t xml:space="preserve">„inneren Umwandlung der Gesinnung“ (84) </w:t>
      </w:r>
    </w:p>
    <w:p w:rsidR="00E72388" w:rsidRDefault="00E72388">
      <w:pPr>
        <w:rPr>
          <w:lang w:val="de-DE"/>
        </w:rPr>
      </w:pPr>
      <w:r>
        <w:rPr>
          <w:lang w:val="de-DE"/>
        </w:rPr>
        <w:t xml:space="preserve">„eine Revolution der Gesinnung, die ein vollendet gutes Denken, Reden, Handeln zur Folge hat“ (85) </w:t>
      </w:r>
    </w:p>
    <w:p w:rsidR="00E72388" w:rsidRDefault="00E72388">
      <w:pPr>
        <w:rPr>
          <w:lang w:val="de-DE"/>
        </w:rPr>
      </w:pPr>
      <w:r>
        <w:rPr>
          <w:lang w:val="de-DE"/>
        </w:rPr>
        <w:t>„Um</w:t>
      </w:r>
      <w:r w:rsidRPr="00E72388">
        <w:rPr>
          <w:lang w:val="de-DE"/>
        </w:rPr>
        <w:t>änderung</w:t>
      </w:r>
      <w:r w:rsidRPr="00E72388">
        <w:rPr>
          <w:lang w:val="de-DE"/>
        </w:rPr>
        <w:t xml:space="preserve"> des ganzen menschlichen Herzens”</w:t>
      </w:r>
      <w:r>
        <w:rPr>
          <w:lang w:val="de-DE"/>
        </w:rPr>
        <w:t xml:space="preserve"> (87) </w:t>
      </w:r>
    </w:p>
    <w:p w:rsidR="00E72388" w:rsidRPr="004F04F0" w:rsidRDefault="00E72388">
      <w:pPr>
        <w:rPr>
          <w:lang w:val="en-CA"/>
        </w:rPr>
      </w:pPr>
      <w:r w:rsidRPr="004F04F0">
        <w:rPr>
          <w:lang w:val="en-CA"/>
        </w:rPr>
        <w:t>„</w:t>
      </w:r>
      <w:proofErr w:type="gramStart"/>
      <w:r w:rsidR="004F04F0" w:rsidRPr="004F04F0">
        <w:rPr>
          <w:lang w:val="en-CA"/>
        </w:rPr>
        <w:t>Therefore</w:t>
      </w:r>
      <w:proofErr w:type="gramEnd"/>
      <w:r w:rsidR="004F04F0" w:rsidRPr="004F04F0">
        <w:rPr>
          <w:lang w:val="en-CA"/>
        </w:rPr>
        <w:t xml:space="preserve"> when He [Jesus; F.E.</w:t>
      </w:r>
      <w:r w:rsidR="004F04F0">
        <w:rPr>
          <w:lang w:val="en-CA"/>
        </w:rPr>
        <w:t xml:space="preserve">] His listeners to </w:t>
      </w:r>
      <w:r w:rsidR="004F04F0" w:rsidRPr="004F04F0">
        <w:rPr>
          <w:i/>
          <w:lang w:val="en-CA"/>
        </w:rPr>
        <w:t>Metanoia</w:t>
      </w:r>
      <w:r w:rsidR="004F04F0">
        <w:rPr>
          <w:lang w:val="en-CA"/>
        </w:rPr>
        <w:t xml:space="preserve"> He demanded a </w:t>
      </w:r>
      <w:r w:rsidR="004F04F0" w:rsidRPr="004F04F0">
        <w:rPr>
          <w:i/>
          <w:lang w:val="en-CA"/>
        </w:rPr>
        <w:t>repentance</w:t>
      </w:r>
      <w:r w:rsidR="004F04F0">
        <w:rPr>
          <w:lang w:val="en-CA"/>
        </w:rPr>
        <w:t xml:space="preserve"> (</w:t>
      </w:r>
      <w:proofErr w:type="spellStart"/>
      <w:r w:rsidR="004F04F0" w:rsidRPr="004F04F0">
        <w:rPr>
          <w:i/>
          <w:lang w:val="en-CA"/>
        </w:rPr>
        <w:t>Teshubah</w:t>
      </w:r>
      <w:proofErr w:type="spellEnd"/>
      <w:r w:rsidR="004F04F0">
        <w:rPr>
          <w:lang w:val="en-CA"/>
        </w:rPr>
        <w:t xml:space="preserve">) of them which implied: 1) contrition for sin, 2) confession, 3) amendment of life, and 4) penitential works.” (209) </w:t>
      </w:r>
      <w:bookmarkStart w:id="0" w:name="_GoBack"/>
      <w:bookmarkEnd w:id="0"/>
    </w:p>
    <w:sectPr w:rsidR="00E72388" w:rsidRPr="004F04F0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CEF"/>
    <w:rsid w:val="001231ED"/>
    <w:rsid w:val="001C7B1B"/>
    <w:rsid w:val="00395CDE"/>
    <w:rsid w:val="00462D88"/>
    <w:rsid w:val="004F04F0"/>
    <w:rsid w:val="0055526E"/>
    <w:rsid w:val="00581CEF"/>
    <w:rsid w:val="00635244"/>
    <w:rsid w:val="006E0AF6"/>
    <w:rsid w:val="00834613"/>
    <w:rsid w:val="00C953A7"/>
    <w:rsid w:val="00E7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24990CA-037C-C746-9870-11918993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2020-01-18T17:27:00Z</dcterms:created>
  <dcterms:modified xsi:type="dcterms:W3CDTF">2020-01-18T18:22:00Z</dcterms:modified>
</cp:coreProperties>
</file>