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6098" w:rsidRDefault="001C6098" w:rsidP="001C6098">
      <w:pPr>
        <w:pStyle w:val="BodyText"/>
      </w:pPr>
      <w:r>
        <w:t xml:space="preserve">Hermann Cohen: „Charakteristik der Ethik Maimunis“, in: </w:t>
      </w:r>
      <w:r>
        <w:rPr>
          <w:i/>
          <w:iCs/>
        </w:rPr>
        <w:t>Hermann Cohens Jüdische Schriften. Mit einer Einleitung von Franz Rosenzweig herausgegeben von Bruno Strauß. Dritter Band. Zur jüdischen Religionsphilosophie und ihrer Geschichte</w:t>
      </w:r>
      <w:r>
        <w:t>. Berlin: C. A. Schwetschke &amp; Sohn Verlagsbuchhandlung, 1924, 221-289.</w:t>
      </w:r>
    </w:p>
    <w:p w:rsidR="001C6098" w:rsidRDefault="001C6098" w:rsidP="001C6098"/>
    <w:p w:rsidR="001C6098" w:rsidRDefault="001C6098" w:rsidP="001C6098">
      <w:r>
        <w:t xml:space="preserve">„Die Hypothesis empfängt daher, genauer erwogen und begriffen, hier nicht sowohl ihr Ende, als vielmehr ihren </w:t>
      </w:r>
      <w:r>
        <w:rPr>
          <w:i/>
          <w:iCs/>
        </w:rPr>
        <w:t>Ursprung</w:t>
      </w:r>
      <w:r>
        <w:t xml:space="preserve">; </w:t>
      </w:r>
      <w:r>
        <w:rPr>
          <w:i/>
          <w:iCs/>
        </w:rPr>
        <w:t>die Ungrundlegung wird zum Ursprung der Grundlegung</w:t>
      </w:r>
      <w:r>
        <w:t>. Und es bewährt sich auch an diesem großen Beispiel die Bedeutung des unendlichen Urteils als des Ursprungs.“ (226)</w:t>
      </w:r>
    </w:p>
    <w:p w:rsidR="001C6098" w:rsidRDefault="001C6098" w:rsidP="001C6098">
      <w:r>
        <w:t xml:space="preserve">„Das ist der Pantheismus im Monotheismus. Dieses ethische Motiv des Pantheismus hat sich auch Maimuni nicht entgehen lassen, so grundsätzlich er aller Schwärmerei und Mystik abhold ist. </w:t>
      </w:r>
      <w:r>
        <w:rPr>
          <w:i/>
          <w:iCs/>
        </w:rPr>
        <w:t>An der Einheit der Vernunft zwischen Gott und Mensch nimmt er keinen Anstoß</w:t>
      </w:r>
      <w:r>
        <w:t xml:space="preserve">; auf ihr beruht seine Theorie der </w:t>
      </w:r>
      <w:r>
        <w:rPr>
          <w:i/>
          <w:iCs/>
        </w:rPr>
        <w:t>Prophetie</w:t>
      </w:r>
      <w:r>
        <w:t xml:space="preserve">. Mithin konnte er an der Selbständigkeit der menschlichen Vernunft nicht irre werden, wenn er die Sittlichkeit als Gottesdienst und als den </w:t>
      </w:r>
      <w:r>
        <w:rPr>
          <w:i/>
          <w:iCs/>
        </w:rPr>
        <w:t>einzigen</w:t>
      </w:r>
      <w:r>
        <w:t xml:space="preserve"> Gottesdienst erklärte.“ (234)</w:t>
      </w:r>
    </w:p>
    <w:p w:rsidR="001C6098" w:rsidRDefault="001C6098" w:rsidP="001C6098">
      <w:r>
        <w:t xml:space="preserve">„Was Maimuni von Aristoteles nicht bloß gelernt hat, sondern worin er ihm bei aller Tiefe der Differenz ein Vorbild und ein Leiter war und blieb, das ist der </w:t>
      </w:r>
      <w:r>
        <w:rPr>
          <w:i/>
          <w:iCs/>
        </w:rPr>
        <w:t>Enthusiasmus für die reine Theorie, für die wissenschaftliche Erkenntnis um ihrer selbst willen und als letzten absoluten Zweck des menschlichen Daseins</w:t>
      </w:r>
      <w:r>
        <w:t>. In dieser Vergöttlichung der Erkenntnis war der Stagirit zum Hellenen geworden. Das ist die Grundkraft des hellenischen Wesens: in der Erkenntnis, daher zuvörderst in der Wissenschaft, aber in ihr als Erkenntnis, die göttliche Kraft zu ehren. Ihre Mythologie hätte sie nicht zu ihrer Philosophie führen können, wenn sie nicht in der Erkenntnis es gefühlt hätten, daß ‚Alles göttlich und menschlich Alles’ sei.“ (243)</w:t>
      </w:r>
    </w:p>
    <w:p w:rsidR="001C6098" w:rsidRDefault="001C6098" w:rsidP="001C6098">
      <w:r>
        <w:t>„</w:t>
      </w:r>
      <w:r>
        <w:rPr>
          <w:i/>
          <w:iCs/>
        </w:rPr>
        <w:t>Dieser sein Wahrheitseifer für die Erkenntnis ist der Grund seines Intellektualismus</w:t>
      </w:r>
      <w:r>
        <w:t xml:space="preserve">. Darum schätzt [245] er dem </w:t>
      </w:r>
      <w:r>
        <w:rPr>
          <w:i/>
          <w:iCs/>
        </w:rPr>
        <w:t>Intellekt</w:t>
      </w:r>
      <w:r>
        <w:t xml:space="preserve">, den alten griechischen </w:t>
      </w:r>
      <w:r>
        <w:rPr>
          <w:i/>
          <w:iCs/>
        </w:rPr>
        <w:t>Nus</w:t>
      </w:r>
      <w:r>
        <w:t xml:space="preserve">, über alles, und </w:t>
      </w:r>
      <w:r>
        <w:rPr>
          <w:i/>
          <w:iCs/>
        </w:rPr>
        <w:t>stellt ihn dem Willen gleich</w:t>
      </w:r>
      <w:r>
        <w:t xml:space="preserve">. [...] Erkenntnis also ist Aufgabe und Ziel der Religion und mithin der Ethik nach Maimuni.“ (244) </w:t>
      </w:r>
    </w:p>
    <w:p w:rsidR="001C6098" w:rsidRDefault="001C6098" w:rsidP="001C6098">
      <w:r>
        <w:t>„</w:t>
      </w:r>
      <w:r>
        <w:rPr>
          <w:i/>
          <w:iCs/>
        </w:rPr>
        <w:t>Darin liegt der Schwerpunkt von Maimunis Attributenlehre: daß er den Begriff des göttlichen Attributes auf das sittliche Attribut, und somit den Begriff Gottes auf den ethischen Begriff Gottes konzentriert und einschränkt</w:t>
      </w:r>
      <w:r>
        <w:t>.“ (246)</w:t>
      </w:r>
    </w:p>
    <w:p w:rsidR="001C6098" w:rsidRDefault="001C6098" w:rsidP="001C6098">
      <w:r>
        <w:t xml:space="preserve">„nicht Negation, sondern vielmehrdurch eine scheinbare Negation echte und feste Position für Gott.“ (250) </w:t>
      </w:r>
    </w:p>
    <w:p w:rsidR="001C6098" w:rsidRDefault="001C6098" w:rsidP="001C6098">
      <w:r>
        <w:t xml:space="preserve">„Anstatt also zu sagen, Maimuni vertrete die Lehre von den negativen Attributen, müßte man sagen, daß er nur solche negative Attribute zuläßt, </w:t>
      </w:r>
      <w:r>
        <w:rPr>
          <w:i/>
          <w:iCs/>
        </w:rPr>
        <w:t>welche die Negation eines privativen Attributs enthalten</w:t>
      </w:r>
      <w:r>
        <w:t>.“ (254)</w:t>
      </w:r>
    </w:p>
    <w:p w:rsidR="001C6098" w:rsidRDefault="001C6098" w:rsidP="001C6098">
      <w:r>
        <w:t xml:space="preserve">„Die Negation der Privation, das ist die wahrhafte Durchführung der </w:t>
      </w:r>
      <w:r>
        <w:rPr>
          <w:i/>
          <w:iCs/>
        </w:rPr>
        <w:t>Einheit</w:t>
      </w:r>
      <w:r>
        <w:t xml:space="preserve"> Gottes; die Ausschließung aller Relativität von seinem Wesen.“ (256)</w:t>
      </w:r>
    </w:p>
    <w:p w:rsidR="001C6098" w:rsidRDefault="001C6098" w:rsidP="001C6098">
      <w:r>
        <w:t xml:space="preserve">„Wenn ich sage, Gott ist weise, so kann ich damit nur sein Wesen bestimmen wollen. Das Problem der Gotteserkenntnis darf jedoch nicht das Wesen Gottes sein, sondern seine Bedeutung als sittliches Vorbild. Sage ich dagegen, Gott ist nicht unwissend, so geht das Urteil auf seinen Grund, auf den </w:t>
      </w:r>
      <w:r>
        <w:rPr>
          <w:i/>
          <w:iCs/>
        </w:rPr>
        <w:t>Ursprung</w:t>
      </w:r>
      <w:r>
        <w:t xml:space="preserve"> dieses Attributes zurück, und ich sage damit </w:t>
      </w:r>
      <w:r>
        <w:rPr>
          <w:i/>
          <w:iCs/>
        </w:rPr>
        <w:t>Selbstbewußtsein</w:t>
      </w:r>
      <w:r>
        <w:t xml:space="preserve"> und </w:t>
      </w:r>
      <w:r>
        <w:rPr>
          <w:i/>
          <w:iCs/>
        </w:rPr>
        <w:t>Vorsehung</w:t>
      </w:r>
      <w:r>
        <w:t xml:space="preserve"> von Gott aus. Damit aber gebe ich der Erkenntnis Gottes den vollen </w:t>
      </w:r>
      <w:r>
        <w:rPr>
          <w:i/>
          <w:iCs/>
        </w:rPr>
        <w:t>Weltinhalt</w:t>
      </w:r>
      <w:r>
        <w:t>.“ (257)</w:t>
      </w:r>
    </w:p>
    <w:p w:rsidR="001C6098" w:rsidRDefault="001C6098" w:rsidP="001C6098">
      <w:r>
        <w:t xml:space="preserve">„aber sein Intellektualismus wahrt ihn vor der Grundgefahr des </w:t>
      </w:r>
      <w:r>
        <w:rPr>
          <w:i/>
          <w:iCs/>
        </w:rPr>
        <w:t>Pantheismus</w:t>
      </w:r>
      <w:r>
        <w:t>.“ (263)</w:t>
      </w:r>
    </w:p>
    <w:p w:rsidR="001C6098" w:rsidRDefault="001C6098" w:rsidP="001C6098">
      <w:r>
        <w:lastRenderedPageBreak/>
        <w:t xml:space="preserve">„Daher entsteht von hier aus die </w:t>
      </w:r>
      <w:r>
        <w:rPr>
          <w:i/>
          <w:iCs/>
        </w:rPr>
        <w:t>Gleichung für die Vernunft, das Denken und das Gedachte</w:t>
      </w:r>
      <w:r>
        <w:t xml:space="preserve"> [...]. Diese Identität hat nicht nur für Gott eigentlichen Sinn; und der </w:t>
      </w:r>
      <w:r>
        <w:rPr>
          <w:i/>
          <w:iCs/>
        </w:rPr>
        <w:t>Pantheismus</w:t>
      </w:r>
      <w:r>
        <w:t xml:space="preserve"> macht sie auf die menschliche Vernunft anwendbar.“ (273) </w:t>
      </w:r>
    </w:p>
    <w:p w:rsidR="001C6098" w:rsidRDefault="001C6098" w:rsidP="001C6098">
      <w:r>
        <w:t>„Das ist der letzte und der klare Sinn der Attributenlehre: daß Gott nicht ein Gott der Metaphysik, der Weltsubstanz, sondern der Gott der Ethik ist, das ist der Menschengott; der Gott, der das Vorbild und das Ideal ist für das Menschengeschlecht und für das menschliche Selbst; und nur als dieses Ideal der menschlichen Sittlichkeit Beziehung zur Welt und zum Menschenwesen annimmt.</w:t>
      </w:r>
    </w:p>
    <w:p w:rsidR="006A41F3" w:rsidRDefault="001C6098" w:rsidP="001C6098">
      <w:r>
        <w:t xml:space="preserve">Auch die </w:t>
      </w:r>
      <w:r>
        <w:rPr>
          <w:i/>
          <w:iCs/>
        </w:rPr>
        <w:t>Weltschöpfung</w:t>
      </w:r>
      <w:r>
        <w:t xml:space="preserve"> tritt daher als ein metaphysisches Problem in der Ethik Maimunis zurück. Man konnte sich nicht genug über diesen Verstoß gegen die Dogmatik, deren Partei er sonst nimmt, verwundern. Es ist jedoch nur die Konsequenz des auch seine Glaubenslehre leitenden ethischen Prinzips, welche ihn zu dieser Kühnheit geführt hat. Seine Ethik ist die der messianischen Gotteserkenntnis, welche in der allgemeinen Menschenliebe alle Einseitigkeiten des Intellektualismus von sich abstößt; Erkenntnis und Willen vereinigt; die Gotteserkenntnis als Gottesliebe versittlicht; in dem Gottesdienst der Liebe aber die Sittlichkeit der Menschenliebe befestigt; und in der Liebe zum messianischen Selbst die Einheit des Menschengeschlechts begründet.“ (289)</w:t>
      </w:r>
      <w:bookmarkStart w:id="0" w:name="_GoBack"/>
      <w:bookmarkEnd w:id="0"/>
    </w:p>
    <w:sectPr w:rsidR="006A41F3"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098"/>
    <w:rsid w:val="001231ED"/>
    <w:rsid w:val="001C6098"/>
    <w:rsid w:val="00395CDE"/>
    <w:rsid w:val="0055526E"/>
    <w:rsid w:val="00635244"/>
    <w:rsid w:val="006E0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15825A48-D28C-CD44-95F3-8C85DB50C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C6098"/>
    <w:rPr>
      <w:rFonts w:ascii="Times New Roman" w:eastAsia="Times New Roman" w:hAnsi="Times New Roman" w:cs="Times New Roman"/>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1C6098"/>
    <w:rPr>
      <w:b/>
      <w:bCs/>
    </w:rPr>
  </w:style>
  <w:style w:type="character" w:customStyle="1" w:styleId="BodyTextChar">
    <w:name w:val="Body Text Char"/>
    <w:basedOn w:val="DefaultParagraphFont"/>
    <w:link w:val="BodyText"/>
    <w:semiHidden/>
    <w:rsid w:val="001C6098"/>
    <w:rPr>
      <w:rFonts w:ascii="Times New Roman" w:eastAsia="Times New Roman" w:hAnsi="Times New Roman" w:cs="Times New Roman"/>
      <w:b/>
      <w:bCs/>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704</Words>
  <Characters>4015</Characters>
  <Application>Microsoft Office Word</Application>
  <DocSecurity>0</DocSecurity>
  <Lines>33</Lines>
  <Paragraphs>9</Paragraphs>
  <ScaleCrop>false</ScaleCrop>
  <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2019-11-05T01:35:00Z</dcterms:created>
  <dcterms:modified xsi:type="dcterms:W3CDTF">2019-11-05T01:36:00Z</dcterms:modified>
</cp:coreProperties>
</file>