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F3" w:rsidRPr="00D957FC" w:rsidRDefault="00D957FC">
      <w:pPr>
        <w:rPr>
          <w:b/>
          <w:lang w:val="de-DE"/>
        </w:rPr>
      </w:pPr>
      <w:r w:rsidRPr="00D957FC">
        <w:rPr>
          <w:b/>
          <w:lang w:val="de-DE"/>
        </w:rPr>
        <w:t>Hermann Broch: Zolas Vorurteil. In: Schriften zur Literatur 1. Kritik. Frankfurt am Main: Suhrkamp, 1975, 34-40.</w:t>
      </w:r>
    </w:p>
    <w:p w:rsidR="00D957FC" w:rsidRDefault="00D957FC">
      <w:pPr>
        <w:rPr>
          <w:lang w:val="de-DE"/>
        </w:rPr>
      </w:pPr>
    </w:p>
    <w:p w:rsidR="00D957FC" w:rsidRDefault="00D957FC">
      <w:pPr>
        <w:rPr>
          <w:rFonts w:ascii="Calibri" w:hAnsi="Calibri" w:cs="Calibri"/>
          <w:lang w:val="de-DE"/>
        </w:rPr>
      </w:pPr>
      <w:r>
        <w:rPr>
          <w:lang w:val="de-DE"/>
        </w:rPr>
        <w:t xml:space="preserve">„Hingegeben an sein jetzt zu erlebendes Objekt kannte der Schriftsteller die überzeitliche Idee nicht; sie war ihm immer nur eine der ausgedehnteren </w:t>
      </w:r>
      <w:proofErr w:type="spellStart"/>
      <w:r>
        <w:rPr>
          <w:lang w:val="de-DE"/>
        </w:rPr>
        <w:t>ide</w:t>
      </w:r>
      <w:r>
        <w:rPr>
          <w:rFonts w:ascii="Calibri" w:hAnsi="Calibri" w:cs="Calibri"/>
          <w:lang w:val="de-DE"/>
        </w:rPr>
        <w:t>é</w:t>
      </w:r>
      <w:r>
        <w:rPr>
          <w:lang w:val="de-DE"/>
        </w:rPr>
        <w:t>s</w:t>
      </w:r>
      <w:proofErr w:type="spellEnd"/>
      <w:r>
        <w:rPr>
          <w:lang w:val="de-DE"/>
        </w:rPr>
        <w:t xml:space="preserve"> de </w:t>
      </w:r>
      <w:proofErr w:type="spellStart"/>
      <w:r>
        <w:rPr>
          <w:lang w:val="de-DE"/>
        </w:rPr>
        <w:t>l’</w:t>
      </w:r>
      <w:r>
        <w:rPr>
          <w:rFonts w:ascii="Calibri" w:hAnsi="Calibri" w:cs="Calibri"/>
          <w:lang w:val="de-DE"/>
        </w:rPr>
        <w:t>é</w:t>
      </w:r>
      <w:r>
        <w:rPr>
          <w:rFonts w:ascii="Calibri" w:hAnsi="Calibri" w:cs="Calibri"/>
          <w:lang w:val="de-DE"/>
        </w:rPr>
        <w:t>poque</w:t>
      </w:r>
      <w:proofErr w:type="spellEnd"/>
      <w:r>
        <w:rPr>
          <w:rFonts w:ascii="Calibri" w:hAnsi="Calibri" w:cs="Calibri"/>
          <w:lang w:val="de-DE"/>
        </w:rPr>
        <w:t xml:space="preserve"> und rationale Basis materialer Glücksmöglichkeit“ (34) </w:t>
      </w:r>
    </w:p>
    <w:p w:rsidR="00D957FC" w:rsidRPr="00D957FC" w:rsidRDefault="00D957FC">
      <w:pPr>
        <w:rPr>
          <w:lang w:val="de-DE"/>
        </w:rPr>
      </w:pPr>
      <w:r>
        <w:rPr>
          <w:lang w:val="de-DE"/>
        </w:rPr>
        <w:t>„Seinem atomistischen Weltbild gemäß darf er den Menschen von allen Seiten determinieren und ihm zum Akt</w:t>
      </w:r>
      <w:bookmarkStart w:id="0" w:name="_GoBack"/>
      <w:bookmarkEnd w:id="0"/>
      <w:r>
        <w:rPr>
          <w:lang w:val="de-DE"/>
        </w:rPr>
        <w:t>eur der Situation herabdrücken.“ (37)</w:t>
      </w:r>
    </w:p>
    <w:sectPr w:rsidR="00D957FC" w:rsidRPr="00D957FC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7FC"/>
    <w:rsid w:val="001231ED"/>
    <w:rsid w:val="00395CDE"/>
    <w:rsid w:val="0055526E"/>
    <w:rsid w:val="00635244"/>
    <w:rsid w:val="006E0AF6"/>
    <w:rsid w:val="00D06A6F"/>
    <w:rsid w:val="00D95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B6020277-F827-9B46-9DDB-E70AEA78C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1</cp:revision>
  <dcterms:created xsi:type="dcterms:W3CDTF">2019-11-09T19:43:00Z</dcterms:created>
  <dcterms:modified xsi:type="dcterms:W3CDTF">2019-11-09T19:54:00Z</dcterms:modified>
</cp:coreProperties>
</file>