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F3245" w:rsidRDefault="00CF3245">
      <w:pPr>
        <w:rPr>
          <w:b/>
        </w:rPr>
      </w:pPr>
      <w:bookmarkStart w:id="0" w:name="_GoBack"/>
      <w:r w:rsidRPr="00CF3245">
        <w:rPr>
          <w:b/>
        </w:rPr>
        <w:t xml:space="preserve">Peter A. </w:t>
      </w:r>
      <w:proofErr w:type="spellStart"/>
      <w:r w:rsidRPr="00CF3245">
        <w:rPr>
          <w:b/>
        </w:rPr>
        <w:t>Boodberg</w:t>
      </w:r>
      <w:proofErr w:type="spellEnd"/>
      <w:r w:rsidRPr="00CF3245">
        <w:rPr>
          <w:b/>
        </w:rPr>
        <w:t>: Tolstoy and China—A critical analysis. Philosophy East and West, Oct 1, 1951, 1, 3, 64-76.</w:t>
      </w:r>
    </w:p>
    <w:bookmarkEnd w:id="0"/>
    <w:p w:rsidR="00CF3245" w:rsidRDefault="00CF3245"/>
    <w:p w:rsidR="00CF3245" w:rsidRDefault="00CF3245">
      <w:r>
        <w:t xml:space="preserve">“Yet even at this early date Tolstoy’s ‘native Taoism’ had already found unmistakable expression in War and Peace (1864-69). Indeed, what better exposition of the workings of the Tao, as the historical process unaffected by the spastic efforts of a man of destiny, could we have than in that epic of life’s majestic continuity? What truer exponents of clear-cut Taoist ‘non-action,’ of ‘doing nothing so that nothing would remain unaccomplished’ than in the figures of Kutuzov and </w:t>
      </w:r>
      <w:proofErr w:type="spellStart"/>
      <w:r>
        <w:t>Karatayev</w:t>
      </w:r>
      <w:proofErr w:type="spellEnd"/>
      <w:r>
        <w:t>?” (75)</w:t>
      </w:r>
    </w:p>
    <w:sectPr w:rsidR="00CF324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245"/>
    <w:rsid w:val="001231ED"/>
    <w:rsid w:val="00395CDE"/>
    <w:rsid w:val="0055526E"/>
    <w:rsid w:val="00635244"/>
    <w:rsid w:val="006E0AF6"/>
    <w:rsid w:val="00CF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D260E0F-728B-A34C-8F61-DB90D3BE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2019-06-26T07:39:00Z</dcterms:created>
  <dcterms:modified xsi:type="dcterms:W3CDTF">2019-06-26T07:44:00Z</dcterms:modified>
</cp:coreProperties>
</file>