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8451CA" w:rsidRDefault="008451CA">
      <w:pPr>
        <w:rPr>
          <w:b/>
          <w:lang w:val="de-DE"/>
        </w:rPr>
      </w:pPr>
      <w:r w:rsidRPr="008451CA">
        <w:rPr>
          <w:b/>
          <w:lang w:val="de-DE"/>
        </w:rPr>
        <w:t xml:space="preserve">Aristoteles: </w:t>
      </w:r>
      <w:r w:rsidR="006A5697">
        <w:rPr>
          <w:b/>
          <w:lang w:val="de-DE"/>
        </w:rPr>
        <w:t xml:space="preserve">Eudemische Ethik. Übersetzt </w:t>
      </w:r>
      <w:r w:rsidRPr="008451CA">
        <w:rPr>
          <w:b/>
          <w:lang w:val="de-DE"/>
        </w:rPr>
        <w:t xml:space="preserve">von Franz Dirlmeier. </w:t>
      </w:r>
      <w:r w:rsidR="006A5697">
        <w:rPr>
          <w:b/>
          <w:lang w:val="de-DE"/>
        </w:rPr>
        <w:t>Darmstadt: Wissenschaftliche Buchgesellschaft, 1962.</w:t>
      </w:r>
    </w:p>
    <w:p w:rsidR="006A5697" w:rsidRDefault="006A5697">
      <w:pPr>
        <w:rPr>
          <w:lang w:val="de-DE"/>
        </w:rPr>
      </w:pPr>
    </w:p>
    <w:p w:rsidR="006A5697" w:rsidRDefault="006A5697">
      <w:pPr>
        <w:rPr>
          <w:lang w:val="de-DE"/>
        </w:rPr>
      </w:pPr>
      <w:r>
        <w:rPr>
          <w:lang w:val="de-DE"/>
        </w:rPr>
        <w:t>„Zuerst aber ist zu prüfen, worauf das glückliche Leben beruht und wie man es erwerben kann“ (5)</w:t>
      </w:r>
    </w:p>
    <w:p w:rsidR="006A5697" w:rsidRDefault="006A5697">
      <w:pPr>
        <w:rPr>
          <w:lang w:val="de-DE"/>
        </w:rPr>
      </w:pPr>
      <w:r>
        <w:rPr>
          <w:lang w:val="de-DE"/>
        </w:rPr>
        <w:t>„Glückliches, seliges, edles Leben aber dürfte in erster Linie auf drei Werten beruhen, die als die wählenswertesten gelten. Die einen nämlich sehen im theoretischen Wissen das größte Gut, die anderen in der (ethischen) Tugend, wieder andere in der Lust.“ (6)</w:t>
      </w:r>
    </w:p>
    <w:p w:rsidR="006A5697" w:rsidRDefault="006A5697">
      <w:pPr>
        <w:rPr>
          <w:lang w:val="de-DE"/>
        </w:rPr>
      </w:pPr>
      <w:r>
        <w:rPr>
          <w:lang w:val="de-DE"/>
        </w:rPr>
        <w:t xml:space="preserve">„Davon hebt sich ab die Dreizahl der einer glückvollen Lebensführung zugeordneten Güter, jene schon früher genannten höchsten Menschengüter: (ethische) Tugend, theoretisches Wissen und Lust. […] die Tätigkeit in der Polis, das Leben des Philosophen, das Genußleben. Von diesen Grundformen nämlich hat die philosophische als ihr Ziel das theoretische Wissen, das heißt die Betrachtung des wahren Seienden; die politische </w:t>
      </w:r>
      <w:r w:rsidR="006129AD">
        <w:rPr>
          <w:lang w:val="de-DE"/>
        </w:rPr>
        <w:t>das wertvolle Handeln, das heißt das Handeln von der Tugend her, das Genußleben die körperliche Lust.“ (8)</w:t>
      </w:r>
    </w:p>
    <w:p w:rsidR="008451CA" w:rsidRDefault="008451CA">
      <w:pPr>
        <w:rPr>
          <w:lang w:val="de-DE"/>
        </w:rPr>
      </w:pPr>
      <w:r>
        <w:rPr>
          <w:lang w:val="de-DE"/>
        </w:rPr>
        <w:t>„Von Anaxagoras nun ist überliefert, er habe jemanden der über Probleme solcher Art nachdachte, auf die Frage, um welchen Zieles [10] willen es wohl sein könnte, daß einer sich entschiede, lieber geboren als nicht geboren zu werden, die Antwort gegeben: „Um das Himmelsgebäude zu betrachten und die Ordnung im Weltall.““ (9-10)</w:t>
      </w:r>
    </w:p>
    <w:p w:rsidR="002A0AA3" w:rsidRDefault="002A0AA3">
      <w:pPr>
        <w:rPr>
          <w:lang w:val="de-DE"/>
        </w:rPr>
      </w:pPr>
      <w:r>
        <w:rPr>
          <w:lang w:val="de-DE"/>
        </w:rPr>
        <w:t xml:space="preserve">„Aus dem Gesagten nun ist klar, daß alle das Glück auf drei Grundformen des Lebens beziehen: auf das politische, das philosophische und das Genußleben.“ (10) </w:t>
      </w:r>
    </w:p>
    <w:p w:rsidR="00E34DB1" w:rsidRDefault="00E34DB1">
      <w:pPr>
        <w:rPr>
          <w:lang w:val="de-DE"/>
        </w:rPr>
      </w:pPr>
      <w:r>
        <w:rPr>
          <w:lang w:val="de-DE"/>
        </w:rPr>
        <w:t xml:space="preserve">„Sokrates nun, der ehrwürdige, meinte, das Ziel sei die Erkenntnis der Tugend und er pflegte zu fragen: was ist das Wesen der Gerechtigkeit und das Wesen der Tapferkeit, das heißt eines jeden Teiles der Tugend. Und dieses Fragen war ja wohlbegründet, denn er meinte alle Tugenden seien theoretisches Wissen, so daß es gleichzeitig dazu komme, daß man die Gerechtigkeit weiß und gerecht ist. Denn es ist ja gleichzeitig: wir haben die Mathematik und die Baukunst gelernt und damit </w:t>
      </w:r>
      <w:r w:rsidRPr="00E34DB1">
        <w:rPr>
          <w:i/>
          <w:lang w:val="de-DE"/>
        </w:rPr>
        <w:t>sind</w:t>
      </w:r>
      <w:r>
        <w:rPr>
          <w:lang w:val="de-DE"/>
        </w:rPr>
        <w:t xml:space="preserve"> wir Baumeister und Mathematiker. So pflegte der denn zu fragen: was ist die Tugend? und nicht: wie oder wodurch entsteht sie? Dies aber hat eine Richtigkeit (nur) bei dem Typus der theoretischen Wissenschaften. Denn Astronomie und Mathematik haben kein anderes (Ziel) als das Erkennen und Betrachten des Wesens der Dinge, die d(ies)en Wissenschaften als Gegenstand vorliegen – wobei freilich nichts im Wege steht, daß sie uns in akzidenteller Weise für manches Konkrete nützlich sind.“ </w:t>
      </w:r>
      <w:r w:rsidR="006E4219">
        <w:rPr>
          <w:lang w:val="de-DE"/>
        </w:rPr>
        <w:t>(11</w:t>
      </w:r>
      <w:r>
        <w:rPr>
          <w:lang w:val="de-DE"/>
        </w:rPr>
        <w:t>)</w:t>
      </w:r>
    </w:p>
    <w:p w:rsidR="006E4219" w:rsidRDefault="006E4219">
      <w:pPr>
        <w:rPr>
          <w:lang w:val="de-DE"/>
        </w:rPr>
      </w:pPr>
      <w:r>
        <w:rPr>
          <w:lang w:val="de-DE"/>
        </w:rPr>
        <w:t>„allerhöchstes Gut sei das Gut-an-sich“ (13)</w:t>
      </w:r>
    </w:p>
    <w:p w:rsidR="006E4219" w:rsidRDefault="006E4219">
      <w:pPr>
        <w:rPr>
          <w:lang w:val="de-DE"/>
        </w:rPr>
      </w:pPr>
      <w:r>
        <w:rPr>
          <w:lang w:val="de-DE"/>
        </w:rPr>
        <w:t xml:space="preserve">„Denn ein jedes strebt nach </w:t>
      </w:r>
      <w:r w:rsidRPr="006E4219">
        <w:rPr>
          <w:i/>
          <w:lang w:val="de-DE"/>
        </w:rPr>
        <w:t>seinem</w:t>
      </w:r>
      <w:r>
        <w:rPr>
          <w:lang w:val="de-DE"/>
        </w:rPr>
        <w:t xml:space="preserve"> Gut: das Auge nach dem Sehen, der Körper nach Gesundheit und so weiter.“ (16)</w:t>
      </w:r>
    </w:p>
    <w:p w:rsidR="006E4219" w:rsidRDefault="006E4219">
      <w:pPr>
        <w:rPr>
          <w:lang w:val="de-DE"/>
        </w:rPr>
      </w:pPr>
      <w:r>
        <w:rPr>
          <w:lang w:val="de-DE"/>
        </w:rPr>
        <w:t xml:space="preserve">„Denn bei allen Wesenheiten bestimmen wird („Tugend“, „Trefflichkeit“) in diesem Sinn. Zum Beispiel der Mantel hat eine Trefflichkeit, denn er hat ein bestimmtes Werk und ist in Gebrauch. Und „Trefflichkeit“ des Mantels heißt: seine beste Beschaffenheit. Und so (hat) auch ein Schiff (Trefflichkeit) und ein Haus und so weiter. Somit auch die Seele; denn sie leistet ein bestimmtes Werk.“ (18) </w:t>
      </w:r>
    </w:p>
    <w:p w:rsidR="006E4219" w:rsidRDefault="006E4219">
      <w:pPr>
        <w:rPr>
          <w:lang w:val="de-DE"/>
        </w:rPr>
      </w:pPr>
      <w:r>
        <w:rPr>
          <w:lang w:val="de-DE"/>
        </w:rPr>
        <w:t xml:space="preserve">„Die Schlußfolgerung ist zwingend, daß da, wo Werk gleich Gebrauch ist, der Gebrauch wertvoller ist als die (bloße) Anlage.“ (19) </w:t>
      </w:r>
    </w:p>
    <w:p w:rsidR="003A48AA" w:rsidRDefault="003A48AA">
      <w:pPr>
        <w:rPr>
          <w:lang w:val="de-DE"/>
        </w:rPr>
      </w:pPr>
      <w:r>
        <w:rPr>
          <w:lang w:val="de-DE"/>
        </w:rPr>
        <w:t>„Von der Tugend aber gibt es zwei Arten: die des Charakters  (die „ethische“) und die des Verstandes (die diano</w:t>
      </w:r>
      <w:r>
        <w:rPr>
          <w:rFonts w:ascii="Calibri" w:hAnsi="Calibri" w:cs="Calibri"/>
          <w:lang w:val="de-DE"/>
        </w:rPr>
        <w:t>ë</w:t>
      </w:r>
      <w:r>
        <w:rPr>
          <w:lang w:val="de-DE"/>
        </w:rPr>
        <w:t xml:space="preserve">tische).“ (21) </w:t>
      </w:r>
    </w:p>
    <w:p w:rsidR="003A48AA" w:rsidRDefault="003A48AA">
      <w:pPr>
        <w:rPr>
          <w:lang w:val="de-DE"/>
        </w:rPr>
      </w:pPr>
      <w:r>
        <w:rPr>
          <w:lang w:val="de-DE"/>
        </w:rPr>
        <w:lastRenderedPageBreak/>
        <w:t xml:space="preserve">„und die des rationalen Teils Verstandestugenden </w:t>
      </w:r>
      <w:r>
        <w:rPr>
          <w:lang w:val="de-DE"/>
        </w:rPr>
        <w:t>(diano</w:t>
      </w:r>
      <w:r>
        <w:rPr>
          <w:rFonts w:ascii="Calibri" w:hAnsi="Calibri" w:cs="Calibri"/>
          <w:lang w:val="de-DE"/>
        </w:rPr>
        <w:t>ë</w:t>
      </w:r>
      <w:r>
        <w:rPr>
          <w:lang w:val="de-DE"/>
        </w:rPr>
        <w:t>tische)</w:t>
      </w:r>
      <w:r>
        <w:rPr>
          <w:lang w:val="de-DE"/>
        </w:rPr>
        <w:t xml:space="preserve"> sind, deren Werk die Wahrheit ist, entweder im Hinblick auf das Wie (der seienden Dinge) oder im Hinblick auf </w:t>
      </w:r>
      <w:r w:rsidR="00EB00EA">
        <w:rPr>
          <w:lang w:val="de-DE"/>
        </w:rPr>
        <w:t xml:space="preserve">Entstehungen“ (26) </w:t>
      </w:r>
    </w:p>
    <w:p w:rsidR="00EB00EA" w:rsidRDefault="00EB00EA">
      <w:pPr>
        <w:rPr>
          <w:lang w:val="de-DE"/>
        </w:rPr>
      </w:pPr>
      <w:r>
        <w:rPr>
          <w:lang w:val="de-DE"/>
        </w:rPr>
        <w:t xml:space="preserve">„Sich selbst </w:t>
      </w:r>
      <w:r w:rsidR="0072283F">
        <w:rPr>
          <w:lang w:val="de-DE"/>
        </w:rPr>
        <w:t>wahrzunehmen und sich selbst zu erkennen ist aber für jeden Menschen der größte Wert und deshalb ist allen der Trieb zu leben von Natur eingepflanzt, denn man muß als gültig setzen, daß Leben ein Erkennen ist.“ (91)</w:t>
      </w:r>
    </w:p>
    <w:p w:rsidR="0072283F" w:rsidRDefault="0072283F">
      <w:pPr>
        <w:rPr>
          <w:lang w:val="de-DE"/>
        </w:rPr>
      </w:pPr>
      <w:r>
        <w:rPr>
          <w:lang w:val="de-DE"/>
        </w:rPr>
        <w:t>„daher ist dies der Grund, warum man immer leben will: weil man nämlich immer erkennen will; dies aber weil man selber Erkenntnisobjekt sein will.“ (92)</w:t>
      </w:r>
    </w:p>
    <w:p w:rsidR="0072283F" w:rsidRPr="00EB00EA" w:rsidRDefault="0072283F">
      <w:pPr>
        <w:rPr>
          <w:lang w:val="de-DE"/>
        </w:rPr>
      </w:pPr>
      <w:r>
        <w:rPr>
          <w:lang w:val="de-DE"/>
        </w:rPr>
        <w:t>„Und so verhält es sich bei der seelischen Schaukraft. Der Gott nämlich herrscht nicht in einer befehlenden Weise, sondern er ist jener Endzweck, um dessentwillen die sittliche Einsicht ihre Befehle gibt – „worumwillen“ bedeutet ja zweierlei; das ist ein Unterschied, der in einer anderen Schrift ausgeführt ist –, da der Gott ja keiner Güter bedarf. Jene Wahl nun und jene Erwerbung der natürlichen Güter</w:t>
      </w:r>
      <w:r w:rsidR="00B76C93">
        <w:rPr>
          <w:lang w:val="de-DE"/>
        </w:rPr>
        <w:t xml:space="preserve">, seien es körperliche oder Geld oder Freunde oder die sonstigen Güter, welche am meisten das betrachtende Verhalten des Gottes ermöglicht, </w:t>
      </w:r>
      <w:r w:rsidR="00B76C93" w:rsidRPr="00B76C93">
        <w:rPr>
          <w:i/>
          <w:lang w:val="de-DE"/>
        </w:rPr>
        <w:t>die</w:t>
      </w:r>
      <w:r w:rsidR="00B76C93">
        <w:rPr>
          <w:lang w:val="de-DE"/>
        </w:rPr>
        <w:t xml:space="preserve"> ist die beste und dieser Maßstab ist der schönste. Jedwede andere Form aber, welche durch Mangel oder Übermaß (in Wahl und Besitz der Güter) daran hindert dem Gott zu dienen und der Schau zu leben, </w:t>
      </w:r>
      <w:r w:rsidR="00B76C93" w:rsidRPr="00B76C93">
        <w:rPr>
          <w:i/>
          <w:lang w:val="de-DE"/>
        </w:rPr>
        <w:t>die</w:t>
      </w:r>
      <w:r w:rsidR="00B76C93">
        <w:rPr>
          <w:lang w:val="de-DE"/>
        </w:rPr>
        <w:t xml:space="preserve"> [106] ist schlecht. So aber ist der Zustand in der Seele und dies ist der beste Maßstab für die Seele: so wenig wie möglich des irrationalen Seelenteils innezuwerden – gemeint ist: sofern dieser Eigenständigkeit hat.“ (105-106)</w:t>
      </w:r>
      <w:bookmarkStart w:id="0" w:name="_GoBack"/>
      <w:bookmarkEnd w:id="0"/>
    </w:p>
    <w:sectPr w:rsidR="0072283F" w:rsidRPr="00EB00EA"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1CA"/>
    <w:rsid w:val="001231ED"/>
    <w:rsid w:val="002A0AA3"/>
    <w:rsid w:val="00395CDE"/>
    <w:rsid w:val="003A48AA"/>
    <w:rsid w:val="0055526E"/>
    <w:rsid w:val="006129AD"/>
    <w:rsid w:val="00635244"/>
    <w:rsid w:val="006A5697"/>
    <w:rsid w:val="006E0AF6"/>
    <w:rsid w:val="006E4219"/>
    <w:rsid w:val="0072283F"/>
    <w:rsid w:val="008451CA"/>
    <w:rsid w:val="00B76C93"/>
    <w:rsid w:val="00E34DB1"/>
    <w:rsid w:val="00EB00EA"/>
    <w:rsid w:val="00EC4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3F4608"/>
  <w14:defaultImageDpi w14:val="32767"/>
  <w15:chartTrackingRefBased/>
  <w15:docId w15:val="{0826037A-4977-304A-A1CF-123850E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4</cp:revision>
  <dcterms:created xsi:type="dcterms:W3CDTF">2018-09-09T12:36:00Z</dcterms:created>
  <dcterms:modified xsi:type="dcterms:W3CDTF">2018-09-12T20:47:00Z</dcterms:modified>
</cp:coreProperties>
</file>