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BD1583" w14:textId="0C0FFE3F" w:rsidR="00EE5E06" w:rsidRPr="00B23A89" w:rsidRDefault="00EE5E06">
      <w:pPr>
        <w:rPr>
          <w:b/>
          <w:lang w:val="de-DE"/>
        </w:rPr>
      </w:pPr>
      <w:r w:rsidRPr="00B23A89">
        <w:rPr>
          <w:b/>
          <w:lang w:val="de-DE"/>
        </w:rPr>
        <w:t>Karl L</w:t>
      </w:r>
      <w:r w:rsidR="00B23A89" w:rsidRPr="00B23A89">
        <w:rPr>
          <w:b/>
          <w:lang w:val="de-DE"/>
        </w:rPr>
        <w:t>ö</w:t>
      </w:r>
      <w:r w:rsidRPr="00B23A89">
        <w:rPr>
          <w:b/>
          <w:lang w:val="de-DE"/>
        </w:rPr>
        <w:t>with: Von Hegel zu Nietzsche</w:t>
      </w:r>
      <w:r w:rsidR="00B23A89" w:rsidRPr="00B23A89">
        <w:rPr>
          <w:b/>
          <w:lang w:val="de-DE"/>
        </w:rPr>
        <w:t xml:space="preserve">. Der revolutionäre Bruch im Denken des neunzehnten Jahrhunderts. Hamburg: Meiner, 1995. </w:t>
      </w:r>
    </w:p>
    <w:p w14:paraId="72EF2DF6" w14:textId="1E4785DE" w:rsidR="00DB27B7" w:rsidRDefault="00B23A89">
      <w:pPr>
        <w:rPr>
          <w:lang w:val="de-DE"/>
        </w:rPr>
      </w:pPr>
      <w:r>
        <w:rPr>
          <w:lang w:val="de-DE"/>
        </w:rPr>
        <w:t xml:space="preserve">II. Teil. Studien zur Geschichte der bürgerlich-christlichen Welt. II. Das Problem der Arbeit. 5. </w:t>
      </w:r>
      <w:r w:rsidR="00E57080" w:rsidRPr="00E57080">
        <w:rPr>
          <w:lang w:val="de-DE"/>
        </w:rPr>
        <w:t>Nietzsche: Die Arbeit als Auflö</w:t>
      </w:r>
      <w:r w:rsidR="00E57080">
        <w:rPr>
          <w:lang w:val="de-DE"/>
        </w:rPr>
        <w:t>sung der Andacht und Kontemplation</w:t>
      </w:r>
      <w:r>
        <w:rPr>
          <w:lang w:val="de-DE"/>
        </w:rPr>
        <w:t>, 308-</w:t>
      </w:r>
      <w:r w:rsidR="00131E2F">
        <w:rPr>
          <w:lang w:val="de-DE"/>
        </w:rPr>
        <w:t>311.</w:t>
      </w:r>
    </w:p>
    <w:p w14:paraId="5CC31B5E" w14:textId="4434EFD4" w:rsidR="00927A03" w:rsidRDefault="00E57080" w:rsidP="00927A03">
      <w:pPr>
        <w:rPr>
          <w:lang w:val="de-DE"/>
        </w:rPr>
      </w:pPr>
      <w:r>
        <w:rPr>
          <w:lang w:val="de-DE"/>
        </w:rPr>
        <w:t>In Nietzsches gelegentlichen Gedanken über die Stellung der Arbeit im Leben der Menschen ist sie nicht mehr weltformierende und menschenbildende Macht, sondern nur noch empfunden als Hast und als Last. Wenn aber der wesentliche Charakter der Arbeit die Schwere ist und sie trotz des Willens zur Leistung keinen Zweck in sich selber hat, dann wird sich der Mensch von der Last und dem Ernst der Arbeit dadurch erleichtern, daß er sich in das leichte Vergnügen stürzt, so oft er nicht mehr zu arbeiten hat. In der Flucht von der Arbeit in das Vergnügen ist der Arbeitsmensch auf Erholung aus; Arbeitshast und Vergnügungssucht sind nur zwei Seiten ein und desselben Sachverhalts. Demgegenüber verteidigt Nietzsche die Kontemplation, die sich Zeit l</w:t>
      </w:r>
      <w:r w:rsidRPr="00E57080">
        <w:rPr>
          <w:lang w:val="de-DE"/>
        </w:rPr>
        <w:t>ä</w:t>
      </w:r>
      <w:r>
        <w:rPr>
          <w:lang w:val="de-DE"/>
        </w:rPr>
        <w:t>ßt und Muße hat. „Es ist indianderhafte ... Wildheit in der Art, wie die Amerikaner nach Geld trachten; und ihre atemlose Hast der Arbeit – das eigentliche Laster der neuen Welt – beginnt bereits durch Ansteckung das alte Europa wild zu machen und eine ganz wunderliche Geistlosigkeit darüber zu breiten. Man sch</w:t>
      </w:r>
      <w:r w:rsidRPr="00E57080">
        <w:rPr>
          <w:lang w:val="de-DE"/>
        </w:rPr>
        <w:t>ä</w:t>
      </w:r>
      <w:r>
        <w:rPr>
          <w:lang w:val="de-DE"/>
        </w:rPr>
        <w:t>mt sich jetzt schon der Ruhe; das lange Nachsinnen macht beinahe Gewissensbisse. Man denkt mit der Uhr in der Hand, wie man zu Mittag ißt, das Auge auf das B</w:t>
      </w:r>
      <w:r w:rsidRPr="00E57080">
        <w:rPr>
          <w:lang w:val="de-DE"/>
        </w:rPr>
        <w:t>ö</w:t>
      </w:r>
      <w:r>
        <w:rPr>
          <w:lang w:val="de-DE"/>
        </w:rPr>
        <w:t>rsenblatt gerich-[309]tet, - man lebt wie einer, der fortw</w:t>
      </w:r>
      <w:r w:rsidRPr="00E57080">
        <w:rPr>
          <w:lang w:val="de-DE"/>
        </w:rPr>
        <w:t>ä</w:t>
      </w:r>
      <w:r>
        <w:rPr>
          <w:lang w:val="de-DE"/>
        </w:rPr>
        <w:t>hrend etwas vers</w:t>
      </w:r>
      <w:r w:rsidRPr="00E57080">
        <w:rPr>
          <w:lang w:val="de-DE"/>
        </w:rPr>
        <w:t>ä</w:t>
      </w:r>
      <w:r>
        <w:rPr>
          <w:lang w:val="de-DE"/>
        </w:rPr>
        <w:t>umen k</w:t>
      </w:r>
      <w:r w:rsidRPr="00E57080">
        <w:rPr>
          <w:lang w:val="de-DE"/>
        </w:rPr>
        <w:t>ö</w:t>
      </w:r>
      <w:r>
        <w:rPr>
          <w:lang w:val="de-DE"/>
        </w:rPr>
        <w:t>nnte. Lieber irgend etwas tun als nichts – auch dieser Grundsatz ist eine Schnur, um aller Bildung und allem h</w:t>
      </w:r>
      <w:r w:rsidRPr="00E57080">
        <w:rPr>
          <w:lang w:val="de-DE"/>
        </w:rPr>
        <w:t>ö</w:t>
      </w:r>
      <w:r w:rsidR="00BC10DD">
        <w:rPr>
          <w:lang w:val="de-DE"/>
        </w:rPr>
        <w:t>heren Geschmack den Garaus zu machen. Und so wie sichtlich alle Formen an dieser Hast der Arbeitenden zu Grunde gehen: so geht auch das Gefühl für die Form selber ... zu Grunde ... Man hat keine Zeit und keine Kraft mehr für die Zeremonie, für die Verbindlichkeit mit Umwegen, für allen esprit der Unterhaltung und überhaupt für das otium. Denn das Leben auf der Jagd nach Gewinn zwingt fortw</w:t>
      </w:r>
      <w:r w:rsidR="00BC10DD" w:rsidRPr="00E57080">
        <w:rPr>
          <w:lang w:val="de-DE"/>
        </w:rPr>
        <w:t>ä</w:t>
      </w:r>
      <w:r w:rsidR="00BC10DD">
        <w:rPr>
          <w:lang w:val="de-DE"/>
        </w:rPr>
        <w:t>hrend dazu, seinen Geist bis zur Ersch</w:t>
      </w:r>
      <w:r w:rsidR="00BC10DD" w:rsidRPr="00E57080">
        <w:rPr>
          <w:lang w:val="de-DE"/>
        </w:rPr>
        <w:t>ö</w:t>
      </w:r>
      <w:r w:rsidR="00BC10DD">
        <w:rPr>
          <w:lang w:val="de-DE"/>
        </w:rPr>
        <w:t>pfung auszugeben, in best</w:t>
      </w:r>
      <w:r w:rsidR="00BC10DD" w:rsidRPr="00E57080">
        <w:rPr>
          <w:lang w:val="de-DE"/>
        </w:rPr>
        <w:t>ä</w:t>
      </w:r>
      <w:r w:rsidR="00BC10DD">
        <w:rPr>
          <w:lang w:val="de-DE"/>
        </w:rPr>
        <w:t xml:space="preserve">ndigem Sich-Verstellen oder Überlisten oder Zuvorkommen: die eigentliche Tugend ist jetzt, etwas in weniger Zeit zu tun als ein anderer. Und so gibt es nur selten Stunden der </w:t>
      </w:r>
      <w:r w:rsidR="00BC10DD" w:rsidRPr="00BC10DD">
        <w:rPr>
          <w:i/>
          <w:lang w:val="de-DE"/>
        </w:rPr>
        <w:t>erlaubten</w:t>
      </w:r>
      <w:r w:rsidR="00BC10DD">
        <w:rPr>
          <w:lang w:val="de-DE"/>
        </w:rPr>
        <w:t xml:space="preserve"> Redlichkeit: in diesen aber ist man müde und m</w:t>
      </w:r>
      <w:r w:rsidR="00BC10DD" w:rsidRPr="00E57080">
        <w:rPr>
          <w:lang w:val="de-DE"/>
        </w:rPr>
        <w:t>ö</w:t>
      </w:r>
      <w:r w:rsidR="00BC10DD">
        <w:rPr>
          <w:lang w:val="de-DE"/>
        </w:rPr>
        <w:t xml:space="preserve">chte sich nicht nur gehen lassen, sondern lang und breit und plump sich </w:t>
      </w:r>
      <w:r w:rsidR="00BC10DD" w:rsidRPr="00BC10DD">
        <w:rPr>
          <w:i/>
          <w:lang w:val="de-DE"/>
        </w:rPr>
        <w:t>hinstrecken</w:t>
      </w:r>
      <w:r w:rsidR="00BC10DD">
        <w:rPr>
          <w:lang w:val="de-DE"/>
        </w:rPr>
        <w:t>. Gem</w:t>
      </w:r>
      <w:r w:rsidR="00BC10DD" w:rsidRPr="00E57080">
        <w:rPr>
          <w:lang w:val="de-DE"/>
        </w:rPr>
        <w:t>ä</w:t>
      </w:r>
      <w:r w:rsidR="00BC10DD">
        <w:rPr>
          <w:lang w:val="de-DE"/>
        </w:rPr>
        <w:t xml:space="preserve">ß diesem Hange schreibt man jetzt seine Briefe; deren Stil und Geist immer das eigentliche Zeichen der Zeit sein werden. Gibt es noch ein Vergnügen an Gesellschaft und an Künsten, so ist es ein Vergnügen, wie es müdegearbeitete Sklaven sich zurecht machen. Oh über diese Genügsamkeit der Freude bei unsern Gebildeten und Ungebildeten! Die </w:t>
      </w:r>
      <w:r w:rsidR="00BC10DD" w:rsidRPr="00BC10DD">
        <w:rPr>
          <w:i/>
          <w:lang w:val="de-DE"/>
        </w:rPr>
        <w:t>Arbeit</w:t>
      </w:r>
      <w:r w:rsidR="00BC10DD">
        <w:rPr>
          <w:lang w:val="de-DE"/>
        </w:rPr>
        <w:t xml:space="preserve"> bekommt immer mehr alles gute Gewissen auf ihre Seite: der Hang zur Freude nennt sich bereits Bedürfnis der Erholung und f</w:t>
      </w:r>
      <w:r w:rsidR="00BC10DD" w:rsidRPr="00E57080">
        <w:rPr>
          <w:lang w:val="de-DE"/>
        </w:rPr>
        <w:t>ä</w:t>
      </w:r>
      <w:r w:rsidR="007D34D9">
        <w:rPr>
          <w:lang w:val="de-DE"/>
        </w:rPr>
        <w:t>ngt an, sich vor sich selber zu sch</w:t>
      </w:r>
      <w:r w:rsidR="007D34D9" w:rsidRPr="00E57080">
        <w:rPr>
          <w:lang w:val="de-DE"/>
        </w:rPr>
        <w:t>ä</w:t>
      </w:r>
      <w:r w:rsidR="007D34D9">
        <w:rPr>
          <w:lang w:val="de-DE"/>
        </w:rPr>
        <w:t>men. Man ist es seiner Gesundheit schuldig – so redet man, wenn man auf einer Landpartie ertappt wird. Ja es k</w:t>
      </w:r>
      <w:r w:rsidR="007D34D9" w:rsidRPr="00E57080">
        <w:rPr>
          <w:lang w:val="de-DE"/>
        </w:rPr>
        <w:t>ö</w:t>
      </w:r>
      <w:r w:rsidR="007D34D9">
        <w:rPr>
          <w:lang w:val="de-DE"/>
        </w:rPr>
        <w:t>nnte bald soweit kommen, daß man einem Hange zur vita contemplativa ... nicht ohne Selbstverachtung und schlechtes Gewissen nachg</w:t>
      </w:r>
      <w:r w:rsidR="007D34D9" w:rsidRPr="00E57080">
        <w:rPr>
          <w:lang w:val="de-DE"/>
        </w:rPr>
        <w:t>ä</w:t>
      </w:r>
      <w:r w:rsidR="007D34D9">
        <w:rPr>
          <w:lang w:val="de-DE"/>
        </w:rPr>
        <w:t>be.“</w:t>
      </w:r>
      <w:r w:rsidR="00131E2F">
        <w:rPr>
          <w:rStyle w:val="FootnoteReference"/>
          <w:lang w:val="de-DE"/>
        </w:rPr>
        <w:footnoteReference w:id="1"/>
      </w:r>
      <w:r w:rsidR="007D34D9">
        <w:rPr>
          <w:lang w:val="de-DE"/>
        </w:rPr>
        <w:t xml:space="preserve"> Die Neigung zur Kontemplation hat ihre Wurzeln im antiken sowohl wie im christlichen Ethos gehabt. In der Antike galt es als menschenwürdig und edel, Muße zu pflegen, und solange die Kirche die Sch</w:t>
      </w:r>
      <w:r w:rsidR="007D34D9" w:rsidRPr="00E57080">
        <w:rPr>
          <w:lang w:val="de-DE"/>
        </w:rPr>
        <w:t>ä</w:t>
      </w:r>
      <w:r w:rsidR="007D34D9">
        <w:rPr>
          <w:lang w:val="de-DE"/>
        </w:rPr>
        <w:t>tzung des Lebens bestimmte, war die vita contemplativa in dem Vorrang begründet, welchen die Meditation und Andacht vor allem weltlichen Tun hat. Erst die rastlos betriebene Arbeitsamkeit der modernen Welt hat die Rangordnung zwischen otium und labor und zwischen christlicher Sammlung und irdischem Treiben bis zu dem Punkte aufgel</w:t>
      </w:r>
      <w:r w:rsidR="007D34D9" w:rsidRPr="00E57080">
        <w:rPr>
          <w:lang w:val="de-DE"/>
        </w:rPr>
        <w:t>ö</w:t>
      </w:r>
      <w:r w:rsidR="007D34D9">
        <w:rPr>
          <w:lang w:val="de-DE"/>
        </w:rPr>
        <w:t xml:space="preserve">st,  daß der Sonntag zum Tag der Langweile wurde, weil man an ihm nichts zu tunhat. Die moderne „zeitauskaufende“ und „dumm-stolze“ Arbeitsamkeit hat mehr als alles Übrige zum Unglauben </w:t>
      </w:r>
      <w:r w:rsidR="007D34D9">
        <w:rPr>
          <w:lang w:val="de-DE"/>
        </w:rPr>
        <w:lastRenderedPageBreak/>
        <w:t>erzogen und das religi</w:t>
      </w:r>
      <w:r w:rsidR="007D34D9" w:rsidRPr="00E57080">
        <w:rPr>
          <w:lang w:val="de-DE"/>
        </w:rPr>
        <w:t>ö</w:t>
      </w:r>
      <w:r w:rsidR="007D34D9">
        <w:rPr>
          <w:lang w:val="de-DE"/>
        </w:rPr>
        <w:t>se Leben aufgel</w:t>
      </w:r>
      <w:r w:rsidR="007D34D9" w:rsidRPr="00E57080">
        <w:rPr>
          <w:lang w:val="de-DE"/>
        </w:rPr>
        <w:t>ö</w:t>
      </w:r>
      <w:r w:rsidR="007D34D9">
        <w:rPr>
          <w:lang w:val="de-DE"/>
        </w:rPr>
        <w:t>st. „Unter denen, welche z.B. jetzt in Deutschland abseits von der Religion leben, finde ich Menschen von vielerlei Art ..., vor allem aber eine Mehrzahl solcher, denen Arbei</w:t>
      </w:r>
      <w:r w:rsidR="00927A03">
        <w:rPr>
          <w:lang w:val="de-DE"/>
        </w:rPr>
        <w:t>tsamkeit, von Geschlecht zu [310</w:t>
      </w:r>
      <w:r w:rsidR="007D34D9">
        <w:rPr>
          <w:lang w:val="de-DE"/>
        </w:rPr>
        <w:t>] Geschlecht</w:t>
      </w:r>
      <w:r w:rsidR="00927A03">
        <w:rPr>
          <w:lang w:val="de-DE"/>
        </w:rPr>
        <w:t>, die religi</w:t>
      </w:r>
      <w:r w:rsidR="00927A03" w:rsidRPr="00E57080">
        <w:rPr>
          <w:lang w:val="de-DE"/>
        </w:rPr>
        <w:t>ö</w:t>
      </w:r>
      <w:r w:rsidR="00927A03">
        <w:rPr>
          <w:lang w:val="de-DE"/>
        </w:rPr>
        <w:t>sen Instinkte aufgel</w:t>
      </w:r>
      <w:r w:rsidR="00927A03" w:rsidRPr="00E57080">
        <w:rPr>
          <w:lang w:val="de-DE"/>
        </w:rPr>
        <w:t>ö</w:t>
      </w:r>
      <w:r w:rsidR="00927A03">
        <w:rPr>
          <w:lang w:val="de-DE"/>
        </w:rPr>
        <w:t>st hat: so daß sie gar nicht mehr wissen, wozu Religionen nütze sind, und nur mit einer Art stumpfen Erstaunens ihr Vorhandensein in der Welt ... registrieren. Sie fühlen sich schon reichlich in Anspruch genommen ... sei es von ihren Gesch</w:t>
      </w:r>
      <w:r w:rsidR="00927A03" w:rsidRPr="00E57080">
        <w:rPr>
          <w:lang w:val="de-DE"/>
        </w:rPr>
        <w:t>ä</w:t>
      </w:r>
      <w:r w:rsidR="00927A03">
        <w:rPr>
          <w:lang w:val="de-DE"/>
        </w:rPr>
        <w:t>ften, sei es von ihren Vergnügungen, gar nicht zu reden vom Vaterlande und den Zeitungen ...“</w:t>
      </w:r>
      <w:r w:rsidR="00131E2F">
        <w:rPr>
          <w:rStyle w:val="FootnoteReference"/>
          <w:lang w:val="de-DE"/>
        </w:rPr>
        <w:footnoteReference w:id="2"/>
      </w:r>
      <w:r w:rsidR="00927A03">
        <w:rPr>
          <w:lang w:val="de-DE"/>
        </w:rPr>
        <w:t xml:space="preserve"> Dasselbe, was von den Vielbesch</w:t>
      </w:r>
      <w:r w:rsidR="00927A03" w:rsidRPr="00E57080">
        <w:rPr>
          <w:lang w:val="de-DE"/>
        </w:rPr>
        <w:t>ä</w:t>
      </w:r>
      <w:r w:rsidR="00927A03">
        <w:rPr>
          <w:lang w:val="de-DE"/>
        </w:rPr>
        <w:t>ftigten gilt, ist aber auch von den Gelehrten zu sagen,</w:t>
      </w:r>
      <w:r w:rsidR="00131E2F">
        <w:rPr>
          <w:rStyle w:val="FootnoteReference"/>
          <w:lang w:val="de-DE"/>
        </w:rPr>
        <w:footnoteReference w:id="3"/>
      </w:r>
      <w:r w:rsidR="00927A03">
        <w:rPr>
          <w:lang w:val="de-DE"/>
        </w:rPr>
        <w:t xml:space="preserve"> denn auch die wissenschaftliche Forschung ist zu einem Glied im Betrieb der rastlosen Arbeit geworden.</w:t>
      </w:r>
    </w:p>
    <w:p w14:paraId="43FDDFA8" w14:textId="292167EE" w:rsidR="00740CA6" w:rsidRDefault="00927A03" w:rsidP="00740CA6">
      <w:pPr>
        <w:rPr>
          <w:lang w:val="de-DE"/>
        </w:rPr>
      </w:pPr>
      <w:r>
        <w:rPr>
          <w:lang w:val="de-DE"/>
        </w:rPr>
        <w:t>Die Arbeit hat den Charakter des Fluchs verloren, seitdem die bürgerlich-christliche Welt – mit dem Titel einer viel gelesenen Anthologie aus Carlyle gesagt – „Arbeit“ verrichtet, um „nicht verzweifeln“ zu müssen und vom „Segen der Arbeit“ spricht.</w:t>
      </w:r>
      <w:r w:rsidR="00740CA6">
        <w:rPr>
          <w:lang w:val="de-DE"/>
        </w:rPr>
        <w:t xml:space="preserve"> „Bei der Verherrlichung der Arbeit, bei dem unermüdlichen Reden vom ‚Segen der Arbeit‘ sehe ich denselben Hintergedanken, wie beim Lob der gemeinnützigen unpers</w:t>
      </w:r>
      <w:r w:rsidR="00740CA6" w:rsidRPr="00E57080">
        <w:rPr>
          <w:lang w:val="de-DE"/>
        </w:rPr>
        <w:t>ö</w:t>
      </w:r>
      <w:r w:rsidR="00740CA6">
        <w:rPr>
          <w:lang w:val="de-DE"/>
        </w:rPr>
        <w:t>nlichen Handlungen: den der Furcht vor allem Individuellen. Im Grunde fühlt man jetzt ..., daß eine solche Arbeit die beste Polizei ist, daß sie jeden im Zaume h</w:t>
      </w:r>
      <w:r w:rsidR="00740CA6" w:rsidRPr="00E57080">
        <w:rPr>
          <w:lang w:val="de-DE"/>
        </w:rPr>
        <w:t>ä</w:t>
      </w:r>
      <w:r w:rsidR="00740CA6">
        <w:rPr>
          <w:lang w:val="de-DE"/>
        </w:rPr>
        <w:t>lt und die Entwicklung der Vernunft, der Begehrlichkeit, der Unabh</w:t>
      </w:r>
      <w:r w:rsidR="00740CA6" w:rsidRPr="00E57080">
        <w:rPr>
          <w:lang w:val="de-DE"/>
        </w:rPr>
        <w:t>ä</w:t>
      </w:r>
      <w:r w:rsidR="00740CA6">
        <w:rPr>
          <w:lang w:val="de-DE"/>
        </w:rPr>
        <w:t>ngigkeitsgelüstes kr</w:t>
      </w:r>
      <w:r w:rsidR="00740CA6" w:rsidRPr="00E57080">
        <w:rPr>
          <w:lang w:val="de-DE"/>
        </w:rPr>
        <w:t>ä</w:t>
      </w:r>
      <w:r w:rsidR="00740CA6">
        <w:rPr>
          <w:lang w:val="de-DE"/>
        </w:rPr>
        <w:t>ftig zu hindern versteht.“</w:t>
      </w:r>
      <w:r w:rsidR="00131E2F">
        <w:rPr>
          <w:rStyle w:val="FootnoteReference"/>
          <w:lang w:val="de-DE"/>
        </w:rPr>
        <w:footnoteReference w:id="4"/>
      </w:r>
    </w:p>
    <w:p w14:paraId="7D7A0931" w14:textId="194655BF" w:rsidR="001D371D" w:rsidRDefault="00740CA6" w:rsidP="001D371D">
      <w:pPr>
        <w:rPr>
          <w:lang w:val="de-DE"/>
        </w:rPr>
      </w:pPr>
      <w:r>
        <w:rPr>
          <w:lang w:val="de-DE"/>
        </w:rPr>
        <w:t xml:space="preserve">Ein klassischer Lobredner der Arbeit ist in den 90er Jahren E. Zola gewesen, der in einer Rede an die Jugend verkündete: </w:t>
      </w:r>
      <w:r w:rsidR="001D371D">
        <w:rPr>
          <w:lang w:val="de-DE"/>
        </w:rPr>
        <w:t>„Ich hatte nur einen Glauben, eine Kraft: die Arbeit. Mich hielt nur jene ungeheure Arbeit aufrecht, die ich mir aufgegeben hatte. ... Die Arbeit, von der ich zu Ihnen spreche, ist eine regelm</w:t>
      </w:r>
      <w:r w:rsidR="001D371D" w:rsidRPr="00E57080">
        <w:rPr>
          <w:lang w:val="de-DE"/>
        </w:rPr>
        <w:t>ä</w:t>
      </w:r>
      <w:r w:rsidR="001D371D">
        <w:rPr>
          <w:lang w:val="de-DE"/>
        </w:rPr>
        <w:t>ßige Arbeit, eine Lektion, eine Pflicht, die ich mir gestellt habe, um in meinem Werk t</w:t>
      </w:r>
      <w:r w:rsidR="001D371D" w:rsidRPr="00E57080">
        <w:rPr>
          <w:lang w:val="de-DE"/>
        </w:rPr>
        <w:t>ä</w:t>
      </w:r>
      <w:r w:rsidR="001D371D">
        <w:rPr>
          <w:lang w:val="de-DE"/>
        </w:rPr>
        <w:t>glich, wenn auch nur um einen Schritt, vorw</w:t>
      </w:r>
      <w:r w:rsidR="001D371D" w:rsidRPr="00E57080">
        <w:rPr>
          <w:lang w:val="de-DE"/>
        </w:rPr>
        <w:t>ä</w:t>
      </w:r>
      <w:r w:rsidR="001D371D">
        <w:rPr>
          <w:lang w:val="de-DE"/>
        </w:rPr>
        <w:t>rts zu kommen ... Arbeit! Gedenken Sie, meine Herren, daß sie das einzige Gesetz der Welt ausmacht. Das Leben hat keinen anderen Zweck, keinen anderen Existenzgrund, wir alle entstehen nur dazu, um unsern Anteil an der Arbeit zu verrichten und dann zu verschwinden.“ Nur seltene Geister wie Nietzsche und Tolstoi haben das falsche Pathos und den verborgenen Nihilismus erkannt, der diese Sch</w:t>
      </w:r>
      <w:r w:rsidR="001D371D" w:rsidRPr="00E57080">
        <w:rPr>
          <w:lang w:val="de-DE"/>
        </w:rPr>
        <w:t>ä</w:t>
      </w:r>
      <w:r w:rsidR="001D371D">
        <w:rPr>
          <w:lang w:val="de-DE"/>
        </w:rPr>
        <w:t>tzung der Arbeit kennzeichnet.</w:t>
      </w:r>
      <w:r w:rsidR="00131E2F">
        <w:rPr>
          <w:rStyle w:val="FootnoteReference"/>
          <w:lang w:val="de-DE"/>
        </w:rPr>
        <w:footnoteReference w:id="5"/>
      </w:r>
    </w:p>
    <w:p w14:paraId="4BD73706" w14:textId="71C142E4" w:rsidR="001D371D" w:rsidRDefault="001D371D" w:rsidP="001D371D">
      <w:pPr>
        <w:rPr>
          <w:lang w:val="de-DE"/>
        </w:rPr>
      </w:pPr>
      <w:r>
        <w:rPr>
          <w:lang w:val="de-DE"/>
        </w:rPr>
        <w:t>Die im 19. Jahrhundert zum Selbstzweck erhobene Arbeit charakterisiert aber keineswegs nur die „industrielle Gesellschaft“ der bürgerlichen Epoche, sondern erst recht und noch mehr das „Volk“ des totalen Staats, der ihr ein scheinbares Ziel vorhielt, das in Wirklichkeit nur der Krieg sein konnte. Die deutsche „Arbeitsfront“, die auch noch die Freizeit mit „Kraft durch Freude“ zum Zwecke der Arbeitskraft anspannte, hat eine [311] Organisation der gesamten Arbeit geschaffen, mit der sich nur die des Heeres vergleichen l</w:t>
      </w:r>
      <w:r w:rsidRPr="00E57080">
        <w:rPr>
          <w:lang w:val="de-DE"/>
        </w:rPr>
        <w:t>ä</w:t>
      </w:r>
      <w:r>
        <w:rPr>
          <w:lang w:val="de-DE"/>
        </w:rPr>
        <w:t>ßt. Der politische Zweck dieser Arbeits-„Front“ war der Aufbau einer totalen Wehrmacht durch eine v</w:t>
      </w:r>
      <w:r w:rsidRPr="00E57080">
        <w:rPr>
          <w:lang w:val="de-DE"/>
        </w:rPr>
        <w:t>ö</w:t>
      </w:r>
      <w:r>
        <w:rPr>
          <w:lang w:val="de-DE"/>
        </w:rPr>
        <w:t xml:space="preserve">llige Militarisierung des Lebens. Auch diese Entwicklung hat der Verfasser des „Willens zur Macht“ im voraus kommen sehen: „Aus der Zukunft des Arbeiters: Arbeiter sollten wie </w:t>
      </w:r>
      <w:r w:rsidRPr="001D371D">
        <w:rPr>
          <w:i/>
          <w:lang w:val="de-DE"/>
        </w:rPr>
        <w:t>Soldaten</w:t>
      </w:r>
      <w:r>
        <w:rPr>
          <w:lang w:val="de-DE"/>
        </w:rPr>
        <w:t xml:space="preserve"> empfinden lernen: ein Honorar, ein Gehalt, aber keine Bezahlung.“</w:t>
      </w:r>
      <w:r w:rsidR="00131E2F">
        <w:rPr>
          <w:rStyle w:val="FootnoteReference"/>
          <w:lang w:val="de-DE"/>
        </w:rPr>
        <w:footnoteReference w:id="6"/>
      </w:r>
      <w:r>
        <w:rPr>
          <w:lang w:val="de-DE"/>
        </w:rPr>
        <w:t xml:space="preserve"> Weil Nietzsche aber die „Dressur“ der Massen nur als ein Mittel für h</w:t>
      </w:r>
      <w:r w:rsidRPr="00E57080">
        <w:rPr>
          <w:lang w:val="de-DE"/>
        </w:rPr>
        <w:t>ö</w:t>
      </w:r>
      <w:r>
        <w:rPr>
          <w:lang w:val="de-DE"/>
        </w:rPr>
        <w:t xml:space="preserve">here Zwecke verstand, konnte er auch in bezug auf die „Sklaverei der Gegenwart“ fragen: Wo sind die, </w:t>
      </w:r>
      <w:r w:rsidRPr="00EE5E06">
        <w:rPr>
          <w:i/>
          <w:lang w:val="de-DE"/>
        </w:rPr>
        <w:t>f</w:t>
      </w:r>
      <w:r w:rsidR="00EE5E06" w:rsidRPr="00EE5E06">
        <w:rPr>
          <w:i/>
          <w:lang w:val="de-DE"/>
        </w:rPr>
        <w:t>ür</w:t>
      </w:r>
      <w:r w:rsidR="00EE5E06">
        <w:rPr>
          <w:lang w:val="de-DE"/>
        </w:rPr>
        <w:t xml:space="preserve"> welche sie arbeiten?“</w:t>
      </w:r>
      <w:bookmarkStart w:id="0" w:name="_GoBack"/>
      <w:bookmarkEnd w:id="0"/>
    </w:p>
    <w:sectPr w:rsidR="001D371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683E1" w14:textId="77777777" w:rsidR="000756FB" w:rsidRDefault="000756FB" w:rsidP="00131E2F">
      <w:pPr>
        <w:spacing w:after="0" w:line="240" w:lineRule="auto"/>
      </w:pPr>
      <w:r>
        <w:separator/>
      </w:r>
    </w:p>
  </w:endnote>
  <w:endnote w:type="continuationSeparator" w:id="0">
    <w:p w14:paraId="5160528F" w14:textId="77777777" w:rsidR="000756FB" w:rsidRDefault="000756FB" w:rsidP="00131E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BE001" w14:textId="77777777" w:rsidR="000756FB" w:rsidRDefault="000756FB" w:rsidP="00131E2F">
      <w:pPr>
        <w:spacing w:after="0" w:line="240" w:lineRule="auto"/>
      </w:pPr>
      <w:r>
        <w:separator/>
      </w:r>
    </w:p>
  </w:footnote>
  <w:footnote w:type="continuationSeparator" w:id="0">
    <w:p w14:paraId="2B31CC58" w14:textId="77777777" w:rsidR="000756FB" w:rsidRDefault="000756FB" w:rsidP="00131E2F">
      <w:pPr>
        <w:spacing w:after="0" w:line="240" w:lineRule="auto"/>
      </w:pPr>
      <w:r>
        <w:continuationSeparator/>
      </w:r>
    </w:p>
  </w:footnote>
  <w:footnote w:id="1">
    <w:p w14:paraId="2999E60F" w14:textId="60E1D04F" w:rsidR="00131E2F" w:rsidRPr="00131E2F" w:rsidRDefault="00131E2F">
      <w:pPr>
        <w:pStyle w:val="FootnoteText"/>
        <w:rPr>
          <w:lang w:val="de-DE"/>
        </w:rPr>
      </w:pPr>
      <w:r>
        <w:rPr>
          <w:rStyle w:val="FootnoteReference"/>
        </w:rPr>
        <w:footnoteRef/>
      </w:r>
      <w:r w:rsidRPr="00131E2F">
        <w:rPr>
          <w:lang w:val="de-DE"/>
        </w:rPr>
        <w:t xml:space="preserve"> </w:t>
      </w:r>
      <w:r>
        <w:rPr>
          <w:lang w:val="de-DE"/>
        </w:rPr>
        <w:t xml:space="preserve">Fröhliche Wiss., </w:t>
      </w:r>
      <w:proofErr w:type="spellStart"/>
      <w:r>
        <w:rPr>
          <w:lang w:val="de-DE"/>
        </w:rPr>
        <w:t>Aph</w:t>
      </w:r>
      <w:proofErr w:type="spellEnd"/>
      <w:r>
        <w:rPr>
          <w:lang w:val="de-DE"/>
        </w:rPr>
        <w:t xml:space="preserve">. 329; vgl. </w:t>
      </w:r>
      <w:proofErr w:type="spellStart"/>
      <w:r>
        <w:rPr>
          <w:lang w:val="de-DE"/>
        </w:rPr>
        <w:t>Aph</w:t>
      </w:r>
      <w:proofErr w:type="spellEnd"/>
      <w:r>
        <w:rPr>
          <w:lang w:val="de-DE"/>
        </w:rPr>
        <w:t>. 42 und 280; I, 229 f. und 344 f.</w:t>
      </w:r>
    </w:p>
  </w:footnote>
  <w:footnote w:id="2">
    <w:p w14:paraId="2E121F93" w14:textId="3DC4DBE7" w:rsidR="00131E2F" w:rsidRPr="00131E2F" w:rsidRDefault="00131E2F">
      <w:pPr>
        <w:pStyle w:val="FootnoteText"/>
        <w:rPr>
          <w:lang w:val="de-DE"/>
        </w:rPr>
      </w:pPr>
      <w:r>
        <w:rPr>
          <w:rStyle w:val="FootnoteReference"/>
        </w:rPr>
        <w:footnoteRef/>
      </w:r>
      <w:r w:rsidRPr="00131E2F">
        <w:rPr>
          <w:lang w:val="de-DE"/>
        </w:rPr>
        <w:t xml:space="preserve"> </w:t>
      </w:r>
      <w:r>
        <w:rPr>
          <w:lang w:val="de-DE"/>
        </w:rPr>
        <w:t xml:space="preserve">Jenseits von Gut und Böse, </w:t>
      </w:r>
      <w:proofErr w:type="spellStart"/>
      <w:r>
        <w:rPr>
          <w:lang w:val="de-DE"/>
        </w:rPr>
        <w:t>Aph</w:t>
      </w:r>
      <w:proofErr w:type="spellEnd"/>
      <w:r>
        <w:rPr>
          <w:lang w:val="de-DE"/>
        </w:rPr>
        <w:t>. 58.</w:t>
      </w:r>
    </w:p>
  </w:footnote>
  <w:footnote w:id="3">
    <w:p w14:paraId="3DE179B9" w14:textId="09A2E6DB" w:rsidR="00131E2F" w:rsidRPr="00131E2F" w:rsidRDefault="00131E2F">
      <w:pPr>
        <w:pStyle w:val="FootnoteText"/>
        <w:rPr>
          <w:lang w:val="de-DE"/>
        </w:rPr>
      </w:pPr>
      <w:r>
        <w:rPr>
          <w:rStyle w:val="FootnoteReference"/>
        </w:rPr>
        <w:footnoteRef/>
      </w:r>
      <w:r>
        <w:t xml:space="preserve"> </w:t>
      </w:r>
      <w:proofErr w:type="spellStart"/>
      <w:r>
        <w:rPr>
          <w:lang w:val="de-DE"/>
        </w:rPr>
        <w:t>Fröhl</w:t>
      </w:r>
      <w:proofErr w:type="spellEnd"/>
      <w:r>
        <w:rPr>
          <w:lang w:val="de-DE"/>
        </w:rPr>
        <w:t xml:space="preserve">. Wiss., </w:t>
      </w:r>
      <w:proofErr w:type="spellStart"/>
      <w:r>
        <w:rPr>
          <w:lang w:val="de-DE"/>
        </w:rPr>
        <w:t>Aph</w:t>
      </w:r>
      <w:proofErr w:type="spellEnd"/>
      <w:r>
        <w:rPr>
          <w:lang w:val="de-DE"/>
        </w:rPr>
        <w:t>. 348, 349, 373.</w:t>
      </w:r>
    </w:p>
  </w:footnote>
  <w:footnote w:id="4">
    <w:p w14:paraId="019CD288" w14:textId="510A7564" w:rsidR="00131E2F" w:rsidRPr="00131E2F" w:rsidRDefault="00131E2F">
      <w:pPr>
        <w:pStyle w:val="FootnoteText"/>
        <w:rPr>
          <w:lang w:val="de-DE"/>
        </w:rPr>
      </w:pPr>
      <w:r>
        <w:rPr>
          <w:rStyle w:val="FootnoteReference"/>
        </w:rPr>
        <w:footnoteRef/>
      </w:r>
      <w:r w:rsidRPr="00131E2F">
        <w:rPr>
          <w:lang w:val="de-DE"/>
        </w:rPr>
        <w:t xml:space="preserve"> </w:t>
      </w:r>
      <w:r>
        <w:rPr>
          <w:lang w:val="de-DE"/>
        </w:rPr>
        <w:t xml:space="preserve">Morgenröte, </w:t>
      </w:r>
      <w:proofErr w:type="spellStart"/>
      <w:r>
        <w:rPr>
          <w:lang w:val="de-DE"/>
        </w:rPr>
        <w:t>Aph</w:t>
      </w:r>
      <w:proofErr w:type="spellEnd"/>
      <w:r>
        <w:rPr>
          <w:lang w:val="de-DE"/>
        </w:rPr>
        <w:t xml:space="preserve">. 173; vgl. Zur Genealogie der Moral, III, </w:t>
      </w:r>
      <w:proofErr w:type="spellStart"/>
      <w:r>
        <w:rPr>
          <w:lang w:val="de-DE"/>
        </w:rPr>
        <w:t>Aph</w:t>
      </w:r>
      <w:proofErr w:type="spellEnd"/>
      <w:r>
        <w:rPr>
          <w:lang w:val="de-DE"/>
        </w:rPr>
        <w:t>. 18</w:t>
      </w:r>
      <w:r>
        <w:rPr>
          <w:lang w:val="de-DE"/>
        </w:rPr>
        <w:t>.</w:t>
      </w:r>
    </w:p>
  </w:footnote>
  <w:footnote w:id="5">
    <w:p w14:paraId="3A5440C0" w14:textId="07F1C366" w:rsidR="00131E2F" w:rsidRPr="00131E2F" w:rsidRDefault="00131E2F">
      <w:pPr>
        <w:pStyle w:val="FootnoteText"/>
        <w:rPr>
          <w:lang w:val="de-DE"/>
        </w:rPr>
      </w:pPr>
      <w:r>
        <w:rPr>
          <w:rStyle w:val="FootnoteReference"/>
        </w:rPr>
        <w:footnoteRef/>
      </w:r>
      <w:r w:rsidRPr="00131E2F">
        <w:rPr>
          <w:lang w:val="de-DE"/>
        </w:rPr>
        <w:t xml:space="preserve"> </w:t>
      </w:r>
      <w:r>
        <w:rPr>
          <w:lang w:val="de-DE"/>
        </w:rPr>
        <w:t>Siehe dazu Tolstois Antwort an Zola in dem Tolstoi-Heft der „Neuen Bücherschau“ vom Sept. 1928 und „Was sollen wir denn tun“, Kap. 3.</w:t>
      </w:r>
    </w:p>
  </w:footnote>
  <w:footnote w:id="6">
    <w:p w14:paraId="14F3415C" w14:textId="4954482E" w:rsidR="00131E2F" w:rsidRPr="00131E2F" w:rsidRDefault="00131E2F">
      <w:pPr>
        <w:pStyle w:val="FootnoteText"/>
        <w:rPr>
          <w:lang w:val="de-DE"/>
        </w:rPr>
      </w:pPr>
      <w:r>
        <w:rPr>
          <w:rStyle w:val="FootnoteReference"/>
        </w:rPr>
        <w:footnoteRef/>
      </w:r>
      <w:r>
        <w:t xml:space="preserve"> </w:t>
      </w:r>
      <w:r>
        <w:rPr>
          <w:lang w:val="de-DE"/>
        </w:rPr>
        <w:t xml:space="preserve">XVI, 197 und 196.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080"/>
    <w:rsid w:val="000756FB"/>
    <w:rsid w:val="00131E2F"/>
    <w:rsid w:val="001D371D"/>
    <w:rsid w:val="004C361F"/>
    <w:rsid w:val="00740CA6"/>
    <w:rsid w:val="007D34D9"/>
    <w:rsid w:val="00927A03"/>
    <w:rsid w:val="00B23A89"/>
    <w:rsid w:val="00BC10DD"/>
    <w:rsid w:val="00DB27B7"/>
    <w:rsid w:val="00E12849"/>
    <w:rsid w:val="00E57080"/>
    <w:rsid w:val="00EE5E0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DEE53"/>
  <w15:chartTrackingRefBased/>
  <w15:docId w15:val="{A437C76E-0CF1-485A-8410-2BB84555E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31E2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31E2F"/>
    <w:rPr>
      <w:sz w:val="20"/>
      <w:szCs w:val="20"/>
    </w:rPr>
  </w:style>
  <w:style w:type="character" w:styleId="FootnoteReference">
    <w:name w:val="footnote reference"/>
    <w:basedOn w:val="DefaultParagraphFont"/>
    <w:uiPriority w:val="99"/>
    <w:semiHidden/>
    <w:unhideWhenUsed/>
    <w:rsid w:val="00131E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23C7C-8877-0F43-964E-8F203A7A3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1105</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Health Shared Services BC</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Ehrensperger, Florian</dc:creator>
  <cp:keywords/>
  <dc:description/>
  <cp:lastModifiedBy>Florian Ehrensperger</cp:lastModifiedBy>
  <cp:revision>4</cp:revision>
  <dcterms:created xsi:type="dcterms:W3CDTF">2020-02-22T16:46:00Z</dcterms:created>
  <dcterms:modified xsi:type="dcterms:W3CDTF">2020-02-23T03:08:00Z</dcterms:modified>
</cp:coreProperties>
</file>