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6E30" w:rsidRDefault="00D36AB7" w:rsidP="003D1BFA">
      <w:pPr>
        <w:spacing w:line="360" w:lineRule="auto"/>
        <w:rPr>
          <w:sz w:val="40"/>
          <w:szCs w:val="40"/>
          <w:lang w:val="de-DE"/>
        </w:rPr>
      </w:pPr>
      <w:r w:rsidRPr="00D36AB7">
        <w:rPr>
          <w:sz w:val="40"/>
          <w:szCs w:val="40"/>
          <w:lang w:val="de-DE"/>
        </w:rPr>
        <w:t>Nachwort</w:t>
      </w:r>
    </w:p>
    <w:p w:rsidR="00660364" w:rsidRDefault="00660364" w:rsidP="003D1BFA">
      <w:pPr>
        <w:spacing w:line="360" w:lineRule="auto"/>
        <w:rPr>
          <w:sz w:val="40"/>
          <w:szCs w:val="40"/>
          <w:lang w:val="de-DE"/>
        </w:rPr>
      </w:pPr>
    </w:p>
    <w:p w:rsidR="009026D2" w:rsidRDefault="009026D2" w:rsidP="003D1BFA">
      <w:pPr>
        <w:spacing w:line="360" w:lineRule="auto"/>
        <w:jc w:val="right"/>
        <w:rPr>
          <w:lang w:val="de-DE"/>
        </w:rPr>
      </w:pPr>
      <w:r>
        <w:rPr>
          <w:lang w:val="de-DE"/>
        </w:rPr>
        <w:t xml:space="preserve">„Es geschieht zuletzt sogar, </w:t>
      </w:r>
      <w:proofErr w:type="spellStart"/>
      <w:r>
        <w:rPr>
          <w:lang w:val="de-DE"/>
        </w:rPr>
        <w:t>daß</w:t>
      </w:r>
      <w:proofErr w:type="spellEnd"/>
      <w:r>
        <w:rPr>
          <w:lang w:val="de-DE"/>
        </w:rPr>
        <w:t xml:space="preserve"> nichts geschieht.“</w:t>
      </w:r>
      <w:r>
        <w:rPr>
          <w:rStyle w:val="FootnoteReference"/>
          <w:lang w:val="de-DE"/>
        </w:rPr>
        <w:footnoteReference w:id="1"/>
      </w:r>
      <w:r>
        <w:rPr>
          <w:lang w:val="de-DE"/>
        </w:rPr>
        <w:t xml:space="preserve"> </w:t>
      </w:r>
    </w:p>
    <w:p w:rsidR="003D1BFA" w:rsidRPr="003D1BFA" w:rsidRDefault="003D1BFA" w:rsidP="003D1BFA">
      <w:pPr>
        <w:spacing w:line="360" w:lineRule="auto"/>
        <w:jc w:val="right"/>
        <w:rPr>
          <w:lang w:val="de-DE"/>
        </w:rPr>
      </w:pPr>
    </w:p>
    <w:p w:rsidR="00660364" w:rsidRDefault="009026D2" w:rsidP="003D1BFA">
      <w:pPr>
        <w:spacing w:line="360" w:lineRule="auto"/>
        <w:jc w:val="right"/>
        <w:rPr>
          <w:lang w:val="de-DE"/>
        </w:rPr>
      </w:pPr>
      <w:r>
        <w:rPr>
          <w:lang w:val="de-DE"/>
        </w:rPr>
        <w:t>„Wie wäre es, dies nicht zu tun? Warum jenes nicht unterlassen?“</w:t>
      </w:r>
      <w:r>
        <w:rPr>
          <w:rStyle w:val="FootnoteReference"/>
          <w:lang w:val="de-DE"/>
        </w:rPr>
        <w:footnoteReference w:id="2"/>
      </w:r>
    </w:p>
    <w:p w:rsidR="00897300" w:rsidRDefault="00897300" w:rsidP="003D1BFA">
      <w:pPr>
        <w:spacing w:line="360" w:lineRule="auto"/>
        <w:jc w:val="right"/>
        <w:rPr>
          <w:sz w:val="40"/>
          <w:szCs w:val="40"/>
          <w:lang w:val="de-DE"/>
        </w:rPr>
      </w:pPr>
    </w:p>
    <w:p w:rsidR="00897300" w:rsidRPr="00897300" w:rsidRDefault="00897300" w:rsidP="003D1BFA">
      <w:pPr>
        <w:spacing w:line="360" w:lineRule="auto"/>
        <w:jc w:val="right"/>
        <w:rPr>
          <w:lang w:val="de-DE"/>
        </w:rPr>
      </w:pPr>
      <w:r w:rsidRPr="00897300">
        <w:rPr>
          <w:lang w:val="de-DE"/>
        </w:rPr>
        <w:t>„Wir müssen nachdenken, ehe wir irgend etwas tun.“</w:t>
      </w:r>
      <w:r>
        <w:rPr>
          <w:rStyle w:val="FootnoteReference"/>
          <w:lang w:val="de-DE"/>
        </w:rPr>
        <w:footnoteReference w:id="3"/>
      </w:r>
    </w:p>
    <w:p w:rsidR="00660364" w:rsidRPr="00D36AB7" w:rsidRDefault="00660364" w:rsidP="003D1BFA">
      <w:pPr>
        <w:spacing w:line="360" w:lineRule="auto"/>
        <w:rPr>
          <w:sz w:val="40"/>
          <w:szCs w:val="40"/>
          <w:lang w:val="de-DE"/>
        </w:rPr>
      </w:pPr>
    </w:p>
    <w:p w:rsidR="00A47D3D" w:rsidRDefault="00A47D3D" w:rsidP="003D1BFA">
      <w:pPr>
        <w:spacing w:line="360" w:lineRule="auto"/>
        <w:rPr>
          <w:lang w:val="de-DE"/>
        </w:rPr>
      </w:pPr>
    </w:p>
    <w:sdt>
      <w:sdtPr>
        <w:rPr>
          <w:rFonts w:ascii="Times New Roman" w:eastAsia="Times New Roman" w:hAnsi="Times New Roman" w:cs="Times New Roman"/>
          <w:color w:val="auto"/>
          <w:sz w:val="24"/>
          <w:szCs w:val="24"/>
          <w:lang w:val="en-CA"/>
        </w:rPr>
        <w:id w:val="127589798"/>
        <w:docPartObj>
          <w:docPartGallery w:val="Table of Contents"/>
          <w:docPartUnique/>
        </w:docPartObj>
      </w:sdtPr>
      <w:sdtEndPr>
        <w:rPr>
          <w:b/>
          <w:bCs/>
          <w:noProof/>
        </w:rPr>
      </w:sdtEndPr>
      <w:sdtContent>
        <w:p w:rsidR="00660364" w:rsidRPr="009026D2" w:rsidRDefault="00660364" w:rsidP="003D1BFA">
          <w:pPr>
            <w:pStyle w:val="TOCHeading"/>
            <w:spacing w:before="0" w:line="360" w:lineRule="auto"/>
            <w:rPr>
              <w:lang w:val="de-DE"/>
            </w:rPr>
          </w:pPr>
          <w:r w:rsidRPr="009026D2">
            <w:rPr>
              <w:lang w:val="de-DE"/>
            </w:rPr>
            <w:t xml:space="preserve">Table </w:t>
          </w:r>
          <w:proofErr w:type="spellStart"/>
          <w:r w:rsidRPr="009026D2">
            <w:rPr>
              <w:lang w:val="de-DE"/>
            </w:rPr>
            <w:t>of</w:t>
          </w:r>
          <w:proofErr w:type="spellEnd"/>
          <w:r w:rsidRPr="009026D2">
            <w:rPr>
              <w:lang w:val="de-DE"/>
            </w:rPr>
            <w:t xml:space="preserve"> Contents</w:t>
          </w:r>
        </w:p>
        <w:p w:rsidR="00925DB3" w:rsidRDefault="00660364">
          <w:pPr>
            <w:pStyle w:val="TOC1"/>
            <w:tabs>
              <w:tab w:val="right" w:leader="dot" w:pos="9350"/>
            </w:tabs>
            <w:rPr>
              <w:rFonts w:eastAsiaTheme="minorEastAsia" w:cstheme="minorBidi"/>
              <w:b w:val="0"/>
              <w:bCs w:val="0"/>
              <w:i w:val="0"/>
              <w:iCs w:val="0"/>
              <w:noProof/>
            </w:rPr>
          </w:pPr>
          <w:r>
            <w:rPr>
              <w:b w:val="0"/>
              <w:bCs w:val="0"/>
            </w:rPr>
            <w:fldChar w:fldCharType="begin"/>
          </w:r>
          <w:r>
            <w:instrText xml:space="preserve"> TOC \o "1-3" \h \z \u </w:instrText>
          </w:r>
          <w:r>
            <w:rPr>
              <w:b w:val="0"/>
              <w:bCs w:val="0"/>
            </w:rPr>
            <w:fldChar w:fldCharType="separate"/>
          </w:r>
          <w:hyperlink w:anchor="_Toc33855030" w:history="1">
            <w:r w:rsidR="00925DB3" w:rsidRPr="00B056D6">
              <w:rPr>
                <w:rStyle w:val="Hyperlink"/>
                <w:noProof/>
                <w:lang w:val="de-DE"/>
              </w:rPr>
              <w:t>Nichttun als Unterlassen: enkrateia</w:t>
            </w:r>
            <w:r w:rsidR="00925DB3">
              <w:rPr>
                <w:noProof/>
                <w:webHidden/>
              </w:rPr>
              <w:tab/>
            </w:r>
            <w:r w:rsidR="00925DB3">
              <w:rPr>
                <w:noProof/>
                <w:webHidden/>
              </w:rPr>
              <w:fldChar w:fldCharType="begin"/>
            </w:r>
            <w:r w:rsidR="00925DB3">
              <w:rPr>
                <w:noProof/>
                <w:webHidden/>
              </w:rPr>
              <w:instrText xml:space="preserve"> PAGEREF _Toc33855030 \h </w:instrText>
            </w:r>
            <w:r w:rsidR="00925DB3">
              <w:rPr>
                <w:noProof/>
                <w:webHidden/>
              </w:rPr>
            </w:r>
            <w:r w:rsidR="00925DB3">
              <w:rPr>
                <w:noProof/>
                <w:webHidden/>
              </w:rPr>
              <w:fldChar w:fldCharType="separate"/>
            </w:r>
            <w:r w:rsidR="00925DB3">
              <w:rPr>
                <w:noProof/>
                <w:webHidden/>
              </w:rPr>
              <w:t>2</w:t>
            </w:r>
            <w:r w:rsidR="00925DB3">
              <w:rPr>
                <w:noProof/>
                <w:webHidden/>
              </w:rPr>
              <w:fldChar w:fldCharType="end"/>
            </w:r>
          </w:hyperlink>
        </w:p>
        <w:p w:rsidR="00925DB3" w:rsidRDefault="00B2203F">
          <w:pPr>
            <w:pStyle w:val="TOC1"/>
            <w:tabs>
              <w:tab w:val="right" w:leader="dot" w:pos="9350"/>
            </w:tabs>
            <w:rPr>
              <w:rFonts w:eastAsiaTheme="minorEastAsia" w:cstheme="minorBidi"/>
              <w:b w:val="0"/>
              <w:bCs w:val="0"/>
              <w:i w:val="0"/>
              <w:iCs w:val="0"/>
              <w:noProof/>
            </w:rPr>
          </w:pPr>
          <w:hyperlink w:anchor="_Toc33855031" w:history="1">
            <w:r w:rsidR="00925DB3" w:rsidRPr="00B056D6">
              <w:rPr>
                <w:rStyle w:val="Hyperlink"/>
                <w:noProof/>
                <w:lang w:val="de-DE"/>
              </w:rPr>
              <w:t>Nichttun als Unterlassen: passiver Widerstand und ziviler Ungehorsam</w:t>
            </w:r>
            <w:r w:rsidR="00925DB3">
              <w:rPr>
                <w:noProof/>
                <w:webHidden/>
              </w:rPr>
              <w:tab/>
            </w:r>
            <w:r w:rsidR="00925DB3">
              <w:rPr>
                <w:noProof/>
                <w:webHidden/>
              </w:rPr>
              <w:fldChar w:fldCharType="begin"/>
            </w:r>
            <w:r w:rsidR="00925DB3">
              <w:rPr>
                <w:noProof/>
                <w:webHidden/>
              </w:rPr>
              <w:instrText xml:space="preserve"> PAGEREF _Toc33855031 \h </w:instrText>
            </w:r>
            <w:r w:rsidR="00925DB3">
              <w:rPr>
                <w:noProof/>
                <w:webHidden/>
              </w:rPr>
            </w:r>
            <w:r w:rsidR="00925DB3">
              <w:rPr>
                <w:noProof/>
                <w:webHidden/>
              </w:rPr>
              <w:fldChar w:fldCharType="separate"/>
            </w:r>
            <w:r w:rsidR="00925DB3">
              <w:rPr>
                <w:noProof/>
                <w:webHidden/>
              </w:rPr>
              <w:t>7</w:t>
            </w:r>
            <w:r w:rsidR="00925DB3">
              <w:rPr>
                <w:noProof/>
                <w:webHidden/>
              </w:rPr>
              <w:fldChar w:fldCharType="end"/>
            </w:r>
          </w:hyperlink>
        </w:p>
        <w:p w:rsidR="00925DB3" w:rsidRDefault="00B2203F">
          <w:pPr>
            <w:pStyle w:val="TOC1"/>
            <w:tabs>
              <w:tab w:val="right" w:leader="dot" w:pos="9350"/>
            </w:tabs>
            <w:rPr>
              <w:rFonts w:eastAsiaTheme="minorEastAsia" w:cstheme="minorBidi"/>
              <w:b w:val="0"/>
              <w:bCs w:val="0"/>
              <w:i w:val="0"/>
              <w:iCs w:val="0"/>
              <w:noProof/>
            </w:rPr>
          </w:pPr>
          <w:hyperlink w:anchor="_Toc33855032" w:history="1">
            <w:r w:rsidR="00925DB3" w:rsidRPr="00B056D6">
              <w:rPr>
                <w:rStyle w:val="Hyperlink"/>
                <w:noProof/>
                <w:lang w:val="de-DE"/>
              </w:rPr>
              <w:t>Nichttun als Gewährenlassen: wu wei</w:t>
            </w:r>
            <w:r w:rsidR="00925DB3">
              <w:rPr>
                <w:noProof/>
                <w:webHidden/>
              </w:rPr>
              <w:tab/>
            </w:r>
            <w:r w:rsidR="00925DB3">
              <w:rPr>
                <w:noProof/>
                <w:webHidden/>
              </w:rPr>
              <w:fldChar w:fldCharType="begin"/>
            </w:r>
            <w:r w:rsidR="00925DB3">
              <w:rPr>
                <w:noProof/>
                <w:webHidden/>
              </w:rPr>
              <w:instrText xml:space="preserve"> PAGEREF _Toc33855032 \h </w:instrText>
            </w:r>
            <w:r w:rsidR="00925DB3">
              <w:rPr>
                <w:noProof/>
                <w:webHidden/>
              </w:rPr>
            </w:r>
            <w:r w:rsidR="00925DB3">
              <w:rPr>
                <w:noProof/>
                <w:webHidden/>
              </w:rPr>
              <w:fldChar w:fldCharType="separate"/>
            </w:r>
            <w:r w:rsidR="00925DB3">
              <w:rPr>
                <w:noProof/>
                <w:webHidden/>
              </w:rPr>
              <w:t>11</w:t>
            </w:r>
            <w:r w:rsidR="00925DB3">
              <w:rPr>
                <w:noProof/>
                <w:webHidden/>
              </w:rPr>
              <w:fldChar w:fldCharType="end"/>
            </w:r>
          </w:hyperlink>
        </w:p>
        <w:p w:rsidR="00925DB3" w:rsidRDefault="00B2203F">
          <w:pPr>
            <w:pStyle w:val="TOC1"/>
            <w:tabs>
              <w:tab w:val="right" w:leader="dot" w:pos="9350"/>
            </w:tabs>
            <w:rPr>
              <w:rFonts w:eastAsiaTheme="minorEastAsia" w:cstheme="minorBidi"/>
              <w:b w:val="0"/>
              <w:bCs w:val="0"/>
              <w:i w:val="0"/>
              <w:iCs w:val="0"/>
              <w:noProof/>
            </w:rPr>
          </w:pPr>
          <w:hyperlink w:anchor="_Toc33855033" w:history="1">
            <w:r w:rsidR="00925DB3" w:rsidRPr="00B056D6">
              <w:rPr>
                <w:rStyle w:val="Hyperlink"/>
                <w:noProof/>
                <w:lang w:val="de-DE"/>
              </w:rPr>
              <w:t>Nichttun als Einhalten und Besinnen</w:t>
            </w:r>
            <w:r w:rsidR="00925DB3">
              <w:rPr>
                <w:noProof/>
                <w:webHidden/>
              </w:rPr>
              <w:tab/>
            </w:r>
            <w:r w:rsidR="00925DB3">
              <w:rPr>
                <w:noProof/>
                <w:webHidden/>
              </w:rPr>
              <w:fldChar w:fldCharType="begin"/>
            </w:r>
            <w:r w:rsidR="00925DB3">
              <w:rPr>
                <w:noProof/>
                <w:webHidden/>
              </w:rPr>
              <w:instrText xml:space="preserve"> PAGEREF _Toc33855033 \h </w:instrText>
            </w:r>
            <w:r w:rsidR="00925DB3">
              <w:rPr>
                <w:noProof/>
                <w:webHidden/>
              </w:rPr>
            </w:r>
            <w:r w:rsidR="00925DB3">
              <w:rPr>
                <w:noProof/>
                <w:webHidden/>
              </w:rPr>
              <w:fldChar w:fldCharType="separate"/>
            </w:r>
            <w:r w:rsidR="00925DB3">
              <w:rPr>
                <w:noProof/>
                <w:webHidden/>
              </w:rPr>
              <w:t>14</w:t>
            </w:r>
            <w:r w:rsidR="00925DB3">
              <w:rPr>
                <w:noProof/>
                <w:webHidden/>
              </w:rPr>
              <w:fldChar w:fldCharType="end"/>
            </w:r>
          </w:hyperlink>
        </w:p>
        <w:p w:rsidR="00925DB3" w:rsidRDefault="00B2203F">
          <w:pPr>
            <w:pStyle w:val="TOC1"/>
            <w:tabs>
              <w:tab w:val="right" w:leader="dot" w:pos="9350"/>
            </w:tabs>
            <w:rPr>
              <w:rFonts w:eastAsiaTheme="minorEastAsia" w:cstheme="minorBidi"/>
              <w:b w:val="0"/>
              <w:bCs w:val="0"/>
              <w:i w:val="0"/>
              <w:iCs w:val="0"/>
              <w:noProof/>
            </w:rPr>
          </w:pPr>
          <w:hyperlink w:anchor="_Toc33855034" w:history="1">
            <w:r w:rsidR="00925DB3" w:rsidRPr="00B056D6">
              <w:rPr>
                <w:rStyle w:val="Hyperlink"/>
                <w:noProof/>
                <w:lang w:val="de-DE"/>
              </w:rPr>
              <w:t>Verwendete Literatur:</w:t>
            </w:r>
            <w:r w:rsidR="00925DB3">
              <w:rPr>
                <w:noProof/>
                <w:webHidden/>
              </w:rPr>
              <w:tab/>
            </w:r>
            <w:r w:rsidR="00925DB3">
              <w:rPr>
                <w:noProof/>
                <w:webHidden/>
              </w:rPr>
              <w:fldChar w:fldCharType="begin"/>
            </w:r>
            <w:r w:rsidR="00925DB3">
              <w:rPr>
                <w:noProof/>
                <w:webHidden/>
              </w:rPr>
              <w:instrText xml:space="preserve"> PAGEREF _Toc33855034 \h </w:instrText>
            </w:r>
            <w:r w:rsidR="00925DB3">
              <w:rPr>
                <w:noProof/>
                <w:webHidden/>
              </w:rPr>
            </w:r>
            <w:r w:rsidR="00925DB3">
              <w:rPr>
                <w:noProof/>
                <w:webHidden/>
              </w:rPr>
              <w:fldChar w:fldCharType="separate"/>
            </w:r>
            <w:r w:rsidR="00925DB3">
              <w:rPr>
                <w:noProof/>
                <w:webHidden/>
              </w:rPr>
              <w:t>16</w:t>
            </w:r>
            <w:r w:rsidR="00925DB3">
              <w:rPr>
                <w:noProof/>
                <w:webHidden/>
              </w:rPr>
              <w:fldChar w:fldCharType="end"/>
            </w:r>
          </w:hyperlink>
        </w:p>
        <w:p w:rsidR="00660364" w:rsidRDefault="00660364" w:rsidP="003D1BFA">
          <w:pPr>
            <w:spacing w:line="360" w:lineRule="auto"/>
          </w:pPr>
          <w:r>
            <w:rPr>
              <w:b/>
              <w:bCs/>
              <w:noProof/>
            </w:rPr>
            <w:fldChar w:fldCharType="end"/>
          </w:r>
        </w:p>
      </w:sdtContent>
    </w:sdt>
    <w:p w:rsidR="00660364" w:rsidRDefault="00660364" w:rsidP="003D1BFA">
      <w:pPr>
        <w:spacing w:line="360" w:lineRule="auto"/>
        <w:rPr>
          <w:lang w:val="de-DE"/>
        </w:rPr>
      </w:pPr>
    </w:p>
    <w:p w:rsidR="00660364" w:rsidRDefault="00660364" w:rsidP="003D1BFA">
      <w:pPr>
        <w:spacing w:line="360" w:lineRule="auto"/>
        <w:rPr>
          <w:lang w:val="de-DE"/>
        </w:rPr>
      </w:pPr>
    </w:p>
    <w:p w:rsidR="00660364" w:rsidRDefault="00660364" w:rsidP="003D1BFA">
      <w:pPr>
        <w:spacing w:line="360" w:lineRule="auto"/>
        <w:rPr>
          <w:lang w:val="de-DE"/>
        </w:rPr>
      </w:pPr>
    </w:p>
    <w:p w:rsidR="00660364" w:rsidRDefault="00660364" w:rsidP="003D1BFA">
      <w:pPr>
        <w:spacing w:line="360" w:lineRule="auto"/>
        <w:rPr>
          <w:lang w:val="de-DE"/>
        </w:rPr>
      </w:pPr>
    </w:p>
    <w:p w:rsidR="00660364" w:rsidRDefault="00660364" w:rsidP="003D1BFA">
      <w:pPr>
        <w:spacing w:line="360" w:lineRule="auto"/>
        <w:rPr>
          <w:lang w:val="de-DE"/>
        </w:rPr>
      </w:pPr>
    </w:p>
    <w:p w:rsidR="00660364" w:rsidRDefault="00660364" w:rsidP="003D1BFA">
      <w:pPr>
        <w:spacing w:line="360" w:lineRule="auto"/>
        <w:rPr>
          <w:lang w:val="de-DE"/>
        </w:rPr>
      </w:pPr>
    </w:p>
    <w:p w:rsidR="00660364" w:rsidRDefault="00660364" w:rsidP="003D1BFA">
      <w:pPr>
        <w:spacing w:line="360" w:lineRule="auto"/>
        <w:rPr>
          <w:lang w:val="de-DE"/>
        </w:rPr>
      </w:pPr>
    </w:p>
    <w:p w:rsidR="00660364" w:rsidRDefault="00660364" w:rsidP="003D1BFA">
      <w:pPr>
        <w:spacing w:line="360" w:lineRule="auto"/>
        <w:rPr>
          <w:lang w:val="de-DE"/>
        </w:rPr>
      </w:pPr>
    </w:p>
    <w:p w:rsidR="002F0C76" w:rsidRPr="002C2BF9" w:rsidRDefault="002F0C76" w:rsidP="003D1BFA">
      <w:pPr>
        <w:spacing w:line="360" w:lineRule="auto"/>
        <w:rPr>
          <w:rFonts w:ascii="Calibri" w:hAnsi="Calibri" w:cs="Calibri"/>
        </w:rPr>
      </w:pPr>
    </w:p>
    <w:p w:rsidR="00E63F56" w:rsidRDefault="00E63F56" w:rsidP="003D1BFA">
      <w:pPr>
        <w:pStyle w:val="Heading1"/>
        <w:spacing w:before="0" w:line="360" w:lineRule="auto"/>
        <w:rPr>
          <w:lang w:val="de-DE"/>
        </w:rPr>
      </w:pPr>
      <w:bookmarkStart w:id="0" w:name="_Toc31826793"/>
      <w:bookmarkStart w:id="1" w:name="_Toc33855030"/>
      <w:r>
        <w:rPr>
          <w:lang w:val="de-DE"/>
        </w:rPr>
        <w:lastRenderedPageBreak/>
        <w:t>Leidenschaft</w:t>
      </w:r>
      <w:r w:rsidR="004F1EE8">
        <w:rPr>
          <w:lang w:val="de-DE"/>
        </w:rPr>
        <w:t xml:space="preserve"> und Krise </w:t>
      </w:r>
    </w:p>
    <w:p w:rsidR="00E63F56" w:rsidRDefault="00E63F56" w:rsidP="00E63F56">
      <w:pPr>
        <w:rPr>
          <w:lang w:val="de-DE"/>
        </w:rPr>
      </w:pPr>
    </w:p>
    <w:p w:rsidR="00A26ED7" w:rsidRDefault="00C21487" w:rsidP="00E63F56">
      <w:pPr>
        <w:rPr>
          <w:lang w:val="de-DE"/>
        </w:rPr>
      </w:pPr>
      <w:r>
        <w:rPr>
          <w:lang w:val="de-DE"/>
        </w:rPr>
        <w:t>Leidenschaft im Gegensatz zur Leidenschaftslosigkeit und Flachheit des Positivismus</w:t>
      </w:r>
      <w:r w:rsidR="00A26ED7">
        <w:rPr>
          <w:lang w:val="de-DE"/>
        </w:rPr>
        <w:t>, der uns die Heilsversprechung in Industrie (Renan)</w:t>
      </w:r>
    </w:p>
    <w:p w:rsidR="00A26ED7" w:rsidRDefault="00A26ED7" w:rsidP="00E63F56">
      <w:pPr>
        <w:rPr>
          <w:lang w:val="de-DE"/>
        </w:rPr>
      </w:pPr>
    </w:p>
    <w:p w:rsidR="00A26ED7" w:rsidRDefault="00A26ED7" w:rsidP="00A26ED7">
      <w:pPr>
        <w:spacing w:before="100" w:beforeAutospacing="1" w:after="100" w:afterAutospacing="1"/>
        <w:rPr>
          <w:rFonts w:ascii="TimesNewRomanPSMT" w:hAnsi="TimesNewRomanPSMT" w:cs="TimesNewRomanPSMT"/>
        </w:rPr>
      </w:pPr>
      <w:proofErr w:type="spellStart"/>
      <w:r w:rsidRPr="00A26ED7">
        <w:rPr>
          <w:rFonts w:ascii="TimesNewRomanPSMT" w:hAnsi="TimesNewRomanPSMT" w:cs="TimesNewRomanPSMT"/>
        </w:rPr>
        <w:t>triomphe</w:t>
      </w:r>
      <w:proofErr w:type="spellEnd"/>
      <w:r w:rsidRPr="00A26ED7">
        <w:rPr>
          <w:rFonts w:ascii="TimesNewRomanPSMT" w:hAnsi="TimesNewRomanPSMT" w:cs="TimesNewRomanPSMT"/>
        </w:rPr>
        <w:t xml:space="preserve"> de </w:t>
      </w:r>
      <w:proofErr w:type="spellStart"/>
      <w:r w:rsidRPr="00A26ED7">
        <w:rPr>
          <w:rFonts w:ascii="TimesNewRomanPSMT" w:hAnsi="TimesNewRomanPSMT" w:cs="TimesNewRomanPSMT"/>
        </w:rPr>
        <w:t>l'esprit</w:t>
      </w:r>
      <w:proofErr w:type="spellEnd"/>
      <w:r w:rsidRPr="00A26ED7">
        <w:rPr>
          <w:rFonts w:ascii="TimesNewRomanPSMT" w:hAnsi="TimesNewRomanPSMT" w:cs="TimesNewRomanPSMT"/>
        </w:rPr>
        <w:t xml:space="preserve"> </w:t>
      </w:r>
      <w:proofErr w:type="spellStart"/>
      <w:r w:rsidRPr="00A26ED7">
        <w:rPr>
          <w:rFonts w:ascii="TimesNewRomanPSMT" w:hAnsi="TimesNewRomanPSMT" w:cs="TimesNewRomanPSMT"/>
        </w:rPr>
        <w:t>moderne</w:t>
      </w:r>
      <w:proofErr w:type="spellEnd"/>
      <w:r w:rsidRPr="00A26ED7">
        <w:rPr>
          <w:rFonts w:ascii="TimesNewRomanPSMT" w:hAnsi="TimesNewRomanPSMT" w:cs="TimesNewRomanPSMT"/>
        </w:rPr>
        <w:t xml:space="preserve">, </w:t>
      </w:r>
      <w:proofErr w:type="spellStart"/>
      <w:r w:rsidRPr="00A26ED7">
        <w:rPr>
          <w:rFonts w:ascii="TimesNewRomanPSMT" w:hAnsi="TimesNewRomanPSMT" w:cs="TimesNewRomanPSMT"/>
        </w:rPr>
        <w:t>comme</w:t>
      </w:r>
      <w:proofErr w:type="spellEnd"/>
      <w:r w:rsidRPr="00A26ED7">
        <w:rPr>
          <w:rFonts w:ascii="TimesNewRomanPSMT" w:hAnsi="TimesNewRomanPSMT" w:cs="TimesNewRomanPSMT"/>
        </w:rPr>
        <w:t xml:space="preserve"> Luther, la science </w:t>
      </w:r>
      <w:proofErr w:type="spellStart"/>
      <w:r w:rsidRPr="00A26ED7">
        <w:rPr>
          <w:rFonts w:ascii="TimesNewRomanPSMT" w:hAnsi="TimesNewRomanPSMT" w:cs="TimesNewRomanPSMT"/>
        </w:rPr>
        <w:t>comme</w:t>
      </w:r>
      <w:proofErr w:type="spellEnd"/>
      <w:r w:rsidRPr="00A26ED7">
        <w:rPr>
          <w:rFonts w:ascii="TimesNewRomanPSMT" w:hAnsi="TimesNewRomanPSMT" w:cs="TimesNewRomanPSMT"/>
        </w:rPr>
        <w:t xml:space="preserve"> </w:t>
      </w:r>
      <w:proofErr w:type="spellStart"/>
      <w:r w:rsidRPr="00A26ED7">
        <w:rPr>
          <w:rFonts w:ascii="TimesNewRomanPSMT" w:hAnsi="TimesNewRomanPSMT" w:cs="TimesNewRomanPSMT"/>
        </w:rPr>
        <w:t>l'esprit</w:t>
      </w:r>
      <w:proofErr w:type="spellEnd"/>
      <w:r w:rsidRPr="00A26ED7">
        <w:rPr>
          <w:rFonts w:ascii="TimesNewRomanPSMT" w:hAnsi="TimesNewRomanPSMT" w:cs="TimesNewRomanPSMT"/>
        </w:rPr>
        <w:t xml:space="preserve"> </w:t>
      </w:r>
      <w:proofErr w:type="spellStart"/>
      <w:r w:rsidRPr="00A26ED7">
        <w:rPr>
          <w:rFonts w:ascii="TimesNewRomanPSMT" w:hAnsi="TimesNewRomanPSMT" w:cs="TimesNewRomanPSMT"/>
        </w:rPr>
        <w:t>industriel</w:t>
      </w:r>
      <w:proofErr w:type="spellEnd"/>
      <w:r w:rsidRPr="00A26ED7">
        <w:rPr>
          <w:rFonts w:ascii="TimesNewRomanPSMT" w:hAnsi="TimesNewRomanPSMT" w:cs="TimesNewRomanPSMT"/>
        </w:rPr>
        <w:t xml:space="preserve">, </w:t>
      </w:r>
      <w:proofErr w:type="spellStart"/>
      <w:r w:rsidRPr="00A26ED7">
        <w:rPr>
          <w:rFonts w:ascii="TimesNewRomanPSMT" w:hAnsi="TimesNewRomanPSMT" w:cs="TimesNewRomanPSMT"/>
        </w:rPr>
        <w:t>l'humanite</w:t>
      </w:r>
      <w:proofErr w:type="spellEnd"/>
      <w:r w:rsidRPr="00A26ED7">
        <w:rPr>
          <w:rFonts w:ascii="TimesNewRomanPSMT" w:hAnsi="TimesNewRomanPSMT" w:cs="TimesNewRomanPSMT"/>
        </w:rPr>
        <w:t xml:space="preserve">́ </w:t>
      </w:r>
      <w:proofErr w:type="spellStart"/>
      <w:r w:rsidRPr="00A26ED7">
        <w:rPr>
          <w:rFonts w:ascii="TimesNewRomanPSMT" w:hAnsi="TimesNewRomanPSMT" w:cs="TimesNewRomanPSMT"/>
        </w:rPr>
        <w:t>en</w:t>
      </w:r>
      <w:proofErr w:type="spellEnd"/>
      <w:r w:rsidRPr="00A26ED7">
        <w:rPr>
          <w:rFonts w:ascii="TimesNewRomanPSMT" w:hAnsi="TimesNewRomanPSMT" w:cs="TimesNewRomanPSMT"/>
        </w:rPr>
        <w:t xml:space="preserve"> un mot </w:t>
      </w:r>
      <w:r>
        <w:rPr>
          <w:rFonts w:ascii="TimesNewRomanPSMT" w:hAnsi="TimesNewRomanPSMT" w:cs="TimesNewRomanPSMT"/>
        </w:rPr>
        <w:t xml:space="preserve">(Renan) </w:t>
      </w:r>
    </w:p>
    <w:p w:rsidR="00A26ED7" w:rsidRDefault="00A26ED7" w:rsidP="00A26ED7">
      <w:pPr>
        <w:spacing w:before="100" w:beforeAutospacing="1" w:after="100" w:afterAutospacing="1"/>
      </w:pPr>
    </w:p>
    <w:p w:rsidR="00A26ED7" w:rsidRPr="00A26ED7" w:rsidRDefault="00A26ED7" w:rsidP="00A26ED7">
      <w:pPr>
        <w:spacing w:before="100" w:beforeAutospacing="1" w:after="100" w:afterAutospacing="1"/>
        <w:rPr>
          <w:lang w:val="de-DE"/>
        </w:rPr>
      </w:pPr>
      <w:r w:rsidRPr="00A26ED7">
        <w:rPr>
          <w:lang w:val="de-DE"/>
        </w:rPr>
        <w:t>und Komfort legt. Er berau</w:t>
      </w:r>
      <w:r>
        <w:rPr>
          <w:lang w:val="de-DE"/>
        </w:rPr>
        <w:t xml:space="preserve">bt </w:t>
      </w:r>
      <w:proofErr w:type="spellStart"/>
      <w:r>
        <w:rPr>
          <w:lang w:val="de-DE"/>
        </w:rPr>
        <w:t>uns</w:t>
      </w:r>
      <w:proofErr w:type="spellEnd"/>
      <w:r>
        <w:rPr>
          <w:lang w:val="de-DE"/>
        </w:rPr>
        <w:t xml:space="preserve"> des absoluten Wertes, welchen wir als Menschen, als Teil des Seins, in uns tragen. Dagegen lehnt sich Tolstoi auf. Mit ihm lehnt sich der Existentialismus auf, der allerdings fehl geht und anstatt dem Sein, das Nichts </w:t>
      </w:r>
    </w:p>
    <w:p w:rsidR="00A26ED7" w:rsidRPr="00A26ED7" w:rsidRDefault="00A26ED7" w:rsidP="00E63F56">
      <w:pPr>
        <w:rPr>
          <w:lang w:val="de-DE"/>
        </w:rPr>
      </w:pPr>
    </w:p>
    <w:p w:rsidR="007E09DE" w:rsidRPr="00A26ED7" w:rsidRDefault="007E09DE" w:rsidP="00E63F56">
      <w:pPr>
        <w:rPr>
          <w:lang w:val="de-DE"/>
        </w:rPr>
      </w:pPr>
    </w:p>
    <w:p w:rsidR="00E63F56" w:rsidRDefault="00E63F56" w:rsidP="00E63F56">
      <w:pPr>
        <w:rPr>
          <w:lang w:val="de-DE"/>
        </w:rPr>
      </w:pPr>
      <w:r>
        <w:rPr>
          <w:lang w:val="de-DE"/>
        </w:rPr>
        <w:t>Bestehen auf der Leidenschaft</w:t>
      </w:r>
    </w:p>
    <w:p w:rsidR="00E63F56" w:rsidRDefault="00E63F56" w:rsidP="00E63F56">
      <w:pPr>
        <w:rPr>
          <w:lang w:val="de-DE"/>
        </w:rPr>
      </w:pPr>
      <w:r>
        <w:rPr>
          <w:lang w:val="de-DE"/>
        </w:rPr>
        <w:t>Krise als notwendige Folge</w:t>
      </w:r>
    </w:p>
    <w:p w:rsidR="00E63F56" w:rsidRDefault="00E63F56" w:rsidP="00E63F56">
      <w:pPr>
        <w:rPr>
          <w:lang w:val="de-DE"/>
        </w:rPr>
      </w:pPr>
      <w:r>
        <w:rPr>
          <w:lang w:val="de-DE"/>
        </w:rPr>
        <w:t>Durch die Krise zur Einsicht</w:t>
      </w:r>
    </w:p>
    <w:p w:rsidR="00E63F56" w:rsidRDefault="00E63F56" w:rsidP="00E63F56">
      <w:pPr>
        <w:rPr>
          <w:lang w:val="de-DE"/>
        </w:rPr>
      </w:pPr>
      <w:r>
        <w:rPr>
          <w:lang w:val="de-DE"/>
        </w:rPr>
        <w:t>Folgen dieser Einsicht</w:t>
      </w:r>
    </w:p>
    <w:p w:rsidR="00E63F56" w:rsidRDefault="00E63F56" w:rsidP="00E63F56">
      <w:pPr>
        <w:rPr>
          <w:lang w:val="de-DE"/>
        </w:rPr>
      </w:pPr>
    </w:p>
    <w:p w:rsidR="00E63F56" w:rsidRDefault="00E63F56" w:rsidP="00E63F56">
      <w:pPr>
        <w:rPr>
          <w:lang w:val="de-DE"/>
        </w:rPr>
      </w:pPr>
    </w:p>
    <w:p w:rsidR="00E63F56" w:rsidRDefault="00E63F56" w:rsidP="00E63F56">
      <w:pPr>
        <w:rPr>
          <w:lang w:val="de-DE"/>
        </w:rPr>
      </w:pPr>
      <w:r>
        <w:rPr>
          <w:lang w:val="de-DE"/>
        </w:rPr>
        <w:t xml:space="preserve">„die innerste Natur des Menschen, jenes Bestehen auf einem Absoluten, welches ihn als </w:t>
      </w:r>
      <w:proofErr w:type="spellStart"/>
      <w:r w:rsidRPr="005E58AE">
        <w:rPr>
          <w:i/>
          <w:lang w:val="de-DE"/>
        </w:rPr>
        <w:t>animal</w:t>
      </w:r>
      <w:proofErr w:type="spellEnd"/>
      <w:r w:rsidRPr="005E58AE">
        <w:rPr>
          <w:i/>
          <w:lang w:val="de-DE"/>
        </w:rPr>
        <w:t xml:space="preserve"> </w:t>
      </w:r>
      <w:proofErr w:type="spellStart"/>
      <w:r w:rsidRPr="005E58AE">
        <w:rPr>
          <w:i/>
          <w:lang w:val="de-DE"/>
        </w:rPr>
        <w:t>passionale</w:t>
      </w:r>
      <w:proofErr w:type="spellEnd"/>
      <w:r>
        <w:rPr>
          <w:lang w:val="de-DE"/>
        </w:rPr>
        <w:t xml:space="preserve"> kennzeichnet.“ (Kuhn, Begegnung mit dem Nichts, 75)</w:t>
      </w:r>
    </w:p>
    <w:p w:rsidR="004F1EE8" w:rsidRDefault="004F1EE8" w:rsidP="00E63F56">
      <w:pPr>
        <w:rPr>
          <w:lang w:val="de-DE"/>
        </w:rPr>
      </w:pPr>
    </w:p>
    <w:p w:rsidR="00E63F56" w:rsidRDefault="00E63F56" w:rsidP="00E63F56">
      <w:pPr>
        <w:rPr>
          <w:lang w:val="de-DE"/>
        </w:rPr>
      </w:pPr>
    </w:p>
    <w:p w:rsidR="004F1EE8" w:rsidRPr="00F50FFB" w:rsidRDefault="004F1EE8" w:rsidP="004F1EE8">
      <w:pPr>
        <w:spacing w:line="360" w:lineRule="auto"/>
        <w:rPr>
          <w:lang w:val="de-DE"/>
        </w:rPr>
      </w:pPr>
      <w:r>
        <w:rPr>
          <w:lang w:val="de-DE"/>
        </w:rPr>
        <w:t xml:space="preserve">Genauso predigt Bernhard. In Anspielung auf die Berufe der Apostel und des Paulus, sagt Bernhard, man lerne von den Aposteln nicht die Kunst des </w:t>
      </w:r>
      <w:proofErr w:type="spellStart"/>
      <w:r>
        <w:rPr>
          <w:lang w:val="de-DE"/>
        </w:rPr>
        <w:t>Fischefangens</w:t>
      </w:r>
      <w:proofErr w:type="spellEnd"/>
      <w:r>
        <w:rPr>
          <w:lang w:val="de-DE"/>
        </w:rPr>
        <w:t xml:space="preserve"> oder </w:t>
      </w:r>
      <w:proofErr w:type="spellStart"/>
      <w:r>
        <w:rPr>
          <w:lang w:val="de-DE"/>
        </w:rPr>
        <w:t>Zeltewebens</w:t>
      </w:r>
      <w:proofErr w:type="spellEnd"/>
      <w:r>
        <w:rPr>
          <w:lang w:val="de-DE"/>
        </w:rPr>
        <w:t xml:space="preserve">, auch nicht, wie man Platon oder Aristoteles zu lesen habe, sondern was die Apostel lehren, ist die höchste Form des Wissens: „Sie haben mich gelehrt zu leben. Glaubst du, es sei eine Kleinigkeit, wenn man zu leben weiß? </w:t>
      </w:r>
      <w:r w:rsidRPr="00466D18">
        <w:rPr>
          <w:lang w:val="de-DE"/>
        </w:rPr>
        <w:t>Etwas Gro</w:t>
      </w:r>
      <w:r>
        <w:rPr>
          <w:lang w:val="de-DE"/>
        </w:rPr>
        <w:t>ßes ist es, ja das Allergrößte.“</w:t>
      </w:r>
      <w:r>
        <w:rPr>
          <w:rStyle w:val="FootnoteReference"/>
          <w:lang w:val="de-DE"/>
        </w:rPr>
        <w:footnoteReference w:id="4"/>
      </w:r>
      <w:r>
        <w:rPr>
          <w:lang w:val="de-DE"/>
        </w:rPr>
        <w:t xml:space="preserve"> </w:t>
      </w:r>
    </w:p>
    <w:p w:rsidR="004F1EE8" w:rsidRDefault="004F1EE8" w:rsidP="00E63F56">
      <w:pPr>
        <w:rPr>
          <w:lang w:val="de-DE"/>
        </w:rPr>
      </w:pPr>
    </w:p>
    <w:p w:rsidR="004F1EE8" w:rsidRDefault="004F1EE8" w:rsidP="00E63F56">
      <w:pPr>
        <w:rPr>
          <w:lang w:val="de-DE"/>
        </w:rPr>
      </w:pPr>
      <w:r>
        <w:rPr>
          <w:lang w:val="de-DE"/>
        </w:rPr>
        <w:t>Sokrates</w:t>
      </w:r>
    </w:p>
    <w:p w:rsidR="004F1EE8" w:rsidRDefault="004F1EE8" w:rsidP="00E63F56">
      <w:pPr>
        <w:rPr>
          <w:lang w:val="de-DE"/>
        </w:rPr>
      </w:pPr>
      <w:proofErr w:type="spellStart"/>
      <w:r>
        <w:rPr>
          <w:lang w:val="de-DE"/>
        </w:rPr>
        <w:t>Sokratismus</w:t>
      </w:r>
      <w:proofErr w:type="spellEnd"/>
    </w:p>
    <w:p w:rsidR="00742030" w:rsidRDefault="00742030" w:rsidP="00E63F56">
      <w:pPr>
        <w:rPr>
          <w:lang w:val="de-DE"/>
        </w:rPr>
      </w:pPr>
      <w:r>
        <w:rPr>
          <w:lang w:val="de-DE"/>
        </w:rPr>
        <w:t>Augustinus</w:t>
      </w:r>
    </w:p>
    <w:p w:rsidR="00742030" w:rsidRDefault="00742030" w:rsidP="00E63F56">
      <w:pPr>
        <w:rPr>
          <w:lang w:val="de-DE"/>
        </w:rPr>
      </w:pPr>
      <w:r>
        <w:rPr>
          <w:lang w:val="de-DE"/>
        </w:rPr>
        <w:t>Bernhard</w:t>
      </w:r>
    </w:p>
    <w:p w:rsidR="00742030" w:rsidRDefault="00742030" w:rsidP="00E63F56">
      <w:pPr>
        <w:rPr>
          <w:lang w:val="de-DE"/>
        </w:rPr>
      </w:pPr>
      <w:r>
        <w:rPr>
          <w:lang w:val="de-DE"/>
        </w:rPr>
        <w:t>Tolstoi</w:t>
      </w:r>
    </w:p>
    <w:p w:rsidR="00984E7E" w:rsidRDefault="00984E7E" w:rsidP="00E63F56">
      <w:pPr>
        <w:rPr>
          <w:lang w:val="de-DE"/>
        </w:rPr>
      </w:pPr>
    </w:p>
    <w:p w:rsidR="00984E7E" w:rsidRDefault="00984E7E" w:rsidP="00E63F56">
      <w:pPr>
        <w:rPr>
          <w:lang w:val="de-DE"/>
        </w:rPr>
      </w:pPr>
      <w:r>
        <w:rPr>
          <w:lang w:val="de-DE"/>
        </w:rPr>
        <w:lastRenderedPageBreak/>
        <w:t xml:space="preserve">Siehe zu, </w:t>
      </w:r>
      <w:proofErr w:type="spellStart"/>
      <w:r>
        <w:rPr>
          <w:lang w:val="de-DE"/>
        </w:rPr>
        <w:t>daß</w:t>
      </w:r>
      <w:proofErr w:type="spellEnd"/>
      <w:r>
        <w:rPr>
          <w:lang w:val="de-DE"/>
        </w:rPr>
        <w:t xml:space="preserve"> du dich betreffs deiner nicht in Unkenntnis hüllst.“ (Bernhard, De </w:t>
      </w:r>
      <w:proofErr w:type="spellStart"/>
      <w:r>
        <w:rPr>
          <w:lang w:val="de-DE"/>
        </w:rPr>
        <w:t>diversis</w:t>
      </w:r>
      <w:proofErr w:type="spellEnd"/>
      <w:r>
        <w:rPr>
          <w:lang w:val="de-DE"/>
        </w:rPr>
        <w:t xml:space="preserve">, </w:t>
      </w:r>
      <w:proofErr w:type="spellStart"/>
      <w:r>
        <w:rPr>
          <w:lang w:val="de-DE"/>
        </w:rPr>
        <w:t>sermo</w:t>
      </w:r>
      <w:proofErr w:type="spellEnd"/>
      <w:r>
        <w:rPr>
          <w:lang w:val="de-DE"/>
        </w:rPr>
        <w:t xml:space="preserve"> XII, Opera VI-1, 127,3ff.) (Haas) </w:t>
      </w:r>
    </w:p>
    <w:p w:rsidR="00E63F56" w:rsidRDefault="00E63F56" w:rsidP="00E63F56">
      <w:pPr>
        <w:rPr>
          <w:lang w:val="de-DE"/>
        </w:rPr>
      </w:pPr>
    </w:p>
    <w:p w:rsidR="00E63F56" w:rsidRPr="00E63F56" w:rsidRDefault="00E63F56" w:rsidP="00E63F56">
      <w:pPr>
        <w:rPr>
          <w:lang w:val="de-DE"/>
        </w:rPr>
      </w:pPr>
    </w:p>
    <w:p w:rsidR="002C2BF9" w:rsidRDefault="002C2BF9" w:rsidP="003D1BFA">
      <w:pPr>
        <w:pStyle w:val="Heading1"/>
        <w:spacing w:before="0" w:line="360" w:lineRule="auto"/>
        <w:rPr>
          <w:lang w:val="de-DE"/>
        </w:rPr>
      </w:pPr>
      <w:proofErr w:type="spellStart"/>
      <w:r>
        <w:rPr>
          <w:lang w:val="de-DE"/>
        </w:rPr>
        <w:t>Nichttun</w:t>
      </w:r>
      <w:proofErr w:type="spellEnd"/>
      <w:r>
        <w:rPr>
          <w:lang w:val="de-DE"/>
        </w:rPr>
        <w:t xml:space="preserve"> als Unterlassen: </w:t>
      </w:r>
      <w:proofErr w:type="spellStart"/>
      <w:r w:rsidRPr="00723E5A">
        <w:rPr>
          <w:i/>
          <w:lang w:val="de-DE"/>
        </w:rPr>
        <w:t>enkrateia</w:t>
      </w:r>
      <w:bookmarkEnd w:id="0"/>
      <w:bookmarkEnd w:id="1"/>
      <w:proofErr w:type="spellEnd"/>
      <w:r>
        <w:rPr>
          <w:lang w:val="de-DE"/>
        </w:rPr>
        <w:t xml:space="preserve"> </w:t>
      </w:r>
    </w:p>
    <w:p w:rsidR="002C2BF9" w:rsidRDefault="002C2BF9" w:rsidP="003D1BFA">
      <w:pPr>
        <w:spacing w:line="360" w:lineRule="auto"/>
        <w:rPr>
          <w:lang w:val="de-DE"/>
        </w:rPr>
      </w:pPr>
    </w:p>
    <w:p w:rsidR="00E1085E" w:rsidRDefault="00742716" w:rsidP="003D1BFA">
      <w:pPr>
        <w:spacing w:line="360" w:lineRule="auto"/>
        <w:rPr>
          <w:lang w:val="de-DE"/>
        </w:rPr>
      </w:pPr>
      <w:r>
        <w:rPr>
          <w:lang w:val="de-DE"/>
        </w:rPr>
        <w:t>Der Auslöser des ersten Angriffs Zolas auf Tolstoi</w:t>
      </w:r>
      <w:r w:rsidR="000100BE">
        <w:rPr>
          <w:rStyle w:val="FootnoteReference"/>
          <w:lang w:val="de-DE"/>
        </w:rPr>
        <w:footnoteReference w:id="5"/>
      </w:r>
      <w:r>
        <w:rPr>
          <w:lang w:val="de-DE"/>
        </w:rPr>
        <w:t xml:space="preserve"> war die Publikation der Novelle </w:t>
      </w:r>
      <w:proofErr w:type="spellStart"/>
      <w:r>
        <w:rPr>
          <w:lang w:val="de-DE"/>
        </w:rPr>
        <w:t>Kreutzersonate</w:t>
      </w:r>
      <w:proofErr w:type="spellEnd"/>
      <w:r>
        <w:rPr>
          <w:lang w:val="de-DE"/>
        </w:rPr>
        <w:t xml:space="preserve">, in welcher Tolstoi </w:t>
      </w:r>
      <w:r w:rsidR="000100BE">
        <w:rPr>
          <w:lang w:val="de-DE"/>
        </w:rPr>
        <w:t xml:space="preserve">die geschlechtliche Liebe verdammte und Askese – auch in der Ehe – predigte. So hatte Tolstoi geschrieben: </w:t>
      </w:r>
      <w:r w:rsidR="00E1085E" w:rsidRPr="009A21AE">
        <w:rPr>
          <w:lang w:val="de-DE"/>
        </w:rPr>
        <w:t>“Zur Erlangung des Glücks aber ward</w:t>
      </w:r>
      <w:r w:rsidR="00E1085E">
        <w:rPr>
          <w:lang w:val="de-DE"/>
        </w:rPr>
        <w:t xml:space="preserve"> der Menschheit das Gesetz gegeben, das sie zu erfüllen hat. Das Gesetz aber besteht in der Einheit des Menschengeschlechts. Der Einheit stehen die Leidenschaften im Wege. Von diesen Leidenschaften ist die stärkste und schlimmste die geschlechtliche, sinnliche Liebe […].“ </w:t>
      </w:r>
      <w:r w:rsidR="00E1085E">
        <w:rPr>
          <w:rStyle w:val="FootnoteReference"/>
          <w:lang w:val="de-DE"/>
        </w:rPr>
        <w:footnoteReference w:id="6"/>
      </w:r>
    </w:p>
    <w:p w:rsidR="00E1085E" w:rsidRDefault="00E1085E" w:rsidP="003D1BFA">
      <w:pPr>
        <w:spacing w:line="360" w:lineRule="auto"/>
        <w:rPr>
          <w:lang w:val="de-DE"/>
        </w:rPr>
      </w:pPr>
    </w:p>
    <w:p w:rsidR="00E12135" w:rsidRDefault="00E1085E" w:rsidP="003D1BFA">
      <w:pPr>
        <w:spacing w:line="360" w:lineRule="auto"/>
        <w:rPr>
          <w:lang w:val="de-DE"/>
        </w:rPr>
      </w:pPr>
      <w:r>
        <w:rPr>
          <w:lang w:val="de-DE"/>
        </w:rPr>
        <w:t xml:space="preserve">Diese These hatte Tolstoi in seiner Novelle </w:t>
      </w:r>
      <w:proofErr w:type="spellStart"/>
      <w:r w:rsidRPr="00E1085E">
        <w:rPr>
          <w:i/>
          <w:lang w:val="de-DE"/>
        </w:rPr>
        <w:t>Kreutzersonate</w:t>
      </w:r>
      <w:proofErr w:type="spellEnd"/>
      <w:r>
        <w:rPr>
          <w:lang w:val="de-DE"/>
        </w:rPr>
        <w:t xml:space="preserve"> dargelegt, </w:t>
      </w:r>
      <w:r w:rsidR="00E12135">
        <w:rPr>
          <w:lang w:val="de-DE"/>
        </w:rPr>
        <w:t xml:space="preserve">welche für großes Aufsehen und hitzigen Debatten führte. Nicht nur, dass Tolstoi die Institution Ehe angriff und sie in einem Mord kulminieren ließ, sondern auch, dass er als einzigen Ausweg aus der unausweichlich in die Katastrophe führende Eheleben die Enthaltsamkeit propagierte. </w:t>
      </w:r>
    </w:p>
    <w:p w:rsidR="00E12135" w:rsidRDefault="00E12135" w:rsidP="003D1BFA">
      <w:pPr>
        <w:spacing w:line="360" w:lineRule="auto"/>
        <w:rPr>
          <w:lang w:val="de-DE"/>
        </w:rPr>
      </w:pPr>
    </w:p>
    <w:p w:rsidR="002C2BF9" w:rsidRDefault="00E12135" w:rsidP="003D1BFA">
      <w:pPr>
        <w:spacing w:line="360" w:lineRule="auto"/>
        <w:rPr>
          <w:lang w:val="de-DE"/>
        </w:rPr>
      </w:pPr>
      <w:r>
        <w:rPr>
          <w:lang w:val="de-DE"/>
        </w:rPr>
        <w:t xml:space="preserve">In einem Interview äußerte sich auch Emile Zola zu Tolstois Werk, und in dem </w:t>
      </w:r>
      <w:r w:rsidR="002C2BF9">
        <w:rPr>
          <w:lang w:val="de-DE"/>
        </w:rPr>
        <w:t xml:space="preserve">zweiseitigen Artikel spart Zola nicht an direkten Angriffen auf Tolstoi, und das folgende hat er zur </w:t>
      </w:r>
      <w:proofErr w:type="spellStart"/>
      <w:r w:rsidR="002C2BF9" w:rsidRPr="00634E37">
        <w:rPr>
          <w:i/>
          <w:lang w:val="de-DE"/>
        </w:rPr>
        <w:t>Kreutzersonate</w:t>
      </w:r>
      <w:proofErr w:type="spellEnd"/>
      <w:r w:rsidR="002C2BF9">
        <w:rPr>
          <w:lang w:val="de-DE"/>
        </w:rPr>
        <w:t xml:space="preserve"> zu sagen: </w:t>
      </w:r>
    </w:p>
    <w:p w:rsidR="002C2BF9" w:rsidRDefault="002C2BF9" w:rsidP="003D1BFA">
      <w:pPr>
        <w:spacing w:line="360" w:lineRule="auto"/>
        <w:rPr>
          <w:lang w:val="de-DE"/>
        </w:rPr>
      </w:pPr>
    </w:p>
    <w:p w:rsidR="002C2BF9" w:rsidRPr="00C83B35" w:rsidRDefault="002C2BF9" w:rsidP="003D1BFA">
      <w:pPr>
        <w:rPr>
          <w:lang w:val="de-DE"/>
        </w:rPr>
      </w:pPr>
      <w:r>
        <w:rPr>
          <w:lang w:val="de-DE"/>
        </w:rPr>
        <w:t xml:space="preserve">„Die </w:t>
      </w:r>
      <w:proofErr w:type="spellStart"/>
      <w:r>
        <w:rPr>
          <w:lang w:val="de-DE"/>
        </w:rPr>
        <w:t>Kreutzersonate</w:t>
      </w:r>
      <w:proofErr w:type="spellEnd"/>
      <w:r>
        <w:rPr>
          <w:lang w:val="de-DE"/>
        </w:rPr>
        <w:t xml:space="preserve"> ist ein Alptraum, eine Ausgeburt einer </w:t>
      </w:r>
      <w:r w:rsidR="00C83B35">
        <w:rPr>
          <w:lang w:val="de-DE"/>
        </w:rPr>
        <w:t>kranken</w:t>
      </w:r>
      <w:r>
        <w:rPr>
          <w:lang w:val="de-DE"/>
        </w:rPr>
        <w:t xml:space="preserve"> </w:t>
      </w:r>
      <w:r w:rsidR="00C83B35">
        <w:rPr>
          <w:lang w:val="de-DE"/>
        </w:rPr>
        <w:t>Phantasie</w:t>
      </w:r>
      <w:r>
        <w:rPr>
          <w:lang w:val="de-DE"/>
        </w:rPr>
        <w:t>. Seit ich sie gelesen habe, habe ich nicht den geringsten Zweifel</w:t>
      </w:r>
      <w:r w:rsidR="00CB3BA7">
        <w:rPr>
          <w:lang w:val="de-DE"/>
        </w:rPr>
        <w:t xml:space="preserve"> daran</w:t>
      </w:r>
      <w:r>
        <w:rPr>
          <w:lang w:val="de-DE"/>
        </w:rPr>
        <w:t>, dass ihr Autor einen Sprung in der Schüssel hat</w:t>
      </w:r>
      <w:r w:rsidRPr="00512650">
        <w:rPr>
          <w:i/>
          <w:lang w:val="de-DE"/>
        </w:rPr>
        <w:t xml:space="preserve"> </w:t>
      </w:r>
      <w:r>
        <w:rPr>
          <w:i/>
          <w:lang w:val="de-DE"/>
        </w:rPr>
        <w:t xml:space="preserve">- </w:t>
      </w:r>
      <w:proofErr w:type="spellStart"/>
      <w:r w:rsidRPr="00512650">
        <w:rPr>
          <w:i/>
          <w:lang w:val="de-DE"/>
        </w:rPr>
        <w:t>qu’il</w:t>
      </w:r>
      <w:proofErr w:type="spellEnd"/>
      <w:r w:rsidRPr="00512650">
        <w:rPr>
          <w:i/>
          <w:lang w:val="de-DE"/>
        </w:rPr>
        <w:t xml:space="preserve"> y a </w:t>
      </w:r>
      <w:proofErr w:type="spellStart"/>
      <w:r w:rsidRPr="00512650">
        <w:rPr>
          <w:i/>
          <w:lang w:val="de-DE"/>
        </w:rPr>
        <w:t>une</w:t>
      </w:r>
      <w:proofErr w:type="spellEnd"/>
      <w:r w:rsidRPr="00512650">
        <w:rPr>
          <w:i/>
          <w:lang w:val="de-DE"/>
        </w:rPr>
        <w:t xml:space="preserve"> </w:t>
      </w:r>
      <w:proofErr w:type="spellStart"/>
      <w:r w:rsidRPr="00512650">
        <w:rPr>
          <w:i/>
          <w:lang w:val="de-DE"/>
        </w:rPr>
        <w:t>petite</w:t>
      </w:r>
      <w:proofErr w:type="spellEnd"/>
      <w:r w:rsidRPr="00512650">
        <w:rPr>
          <w:i/>
          <w:lang w:val="de-DE"/>
        </w:rPr>
        <w:t xml:space="preserve"> </w:t>
      </w:r>
      <w:proofErr w:type="spellStart"/>
      <w:r w:rsidRPr="00512650">
        <w:rPr>
          <w:i/>
          <w:lang w:val="de-DE"/>
        </w:rPr>
        <w:t>fêlure</w:t>
      </w:r>
      <w:proofErr w:type="spellEnd"/>
      <w:r w:rsidRPr="00512650">
        <w:rPr>
          <w:i/>
          <w:lang w:val="de-DE"/>
        </w:rPr>
        <w:t xml:space="preserve"> </w:t>
      </w:r>
      <w:proofErr w:type="spellStart"/>
      <w:r w:rsidRPr="00512650">
        <w:rPr>
          <w:i/>
          <w:lang w:val="de-DE"/>
        </w:rPr>
        <w:t>dans</w:t>
      </w:r>
      <w:proofErr w:type="spellEnd"/>
      <w:r w:rsidRPr="00512650">
        <w:rPr>
          <w:i/>
          <w:lang w:val="de-DE"/>
        </w:rPr>
        <w:t xml:space="preserve"> </w:t>
      </w:r>
      <w:proofErr w:type="spellStart"/>
      <w:r w:rsidRPr="00512650">
        <w:rPr>
          <w:i/>
          <w:lang w:val="de-DE"/>
        </w:rPr>
        <w:t>sa</w:t>
      </w:r>
      <w:proofErr w:type="spellEnd"/>
      <w:r w:rsidRPr="00512650">
        <w:rPr>
          <w:i/>
          <w:lang w:val="de-DE"/>
        </w:rPr>
        <w:t xml:space="preserve"> </w:t>
      </w:r>
      <w:proofErr w:type="spellStart"/>
      <w:r w:rsidRPr="00512650">
        <w:rPr>
          <w:i/>
          <w:lang w:val="de-DE"/>
        </w:rPr>
        <w:t>tête</w:t>
      </w:r>
      <w:proofErr w:type="spellEnd"/>
      <w:r w:rsidRPr="00512650">
        <w:rPr>
          <w:lang w:val="de-DE"/>
        </w:rPr>
        <w:t>.</w:t>
      </w:r>
      <w:r>
        <w:rPr>
          <w:lang w:val="de-DE"/>
        </w:rPr>
        <w:t xml:space="preserve"> Die Theorie, welche in diesem Buch entwickelt wird, ist widernatürlich. </w:t>
      </w:r>
      <w:proofErr w:type="spellStart"/>
      <w:r w:rsidRPr="00512650">
        <w:rPr>
          <w:i/>
          <w:lang w:val="de-DE"/>
        </w:rPr>
        <w:t>L’amour</w:t>
      </w:r>
      <w:proofErr w:type="spellEnd"/>
      <w:r w:rsidRPr="00512650">
        <w:rPr>
          <w:i/>
          <w:lang w:val="de-DE"/>
        </w:rPr>
        <w:t xml:space="preserve">, </w:t>
      </w:r>
      <w:proofErr w:type="spellStart"/>
      <w:r w:rsidRPr="00512650">
        <w:rPr>
          <w:i/>
          <w:lang w:val="de-DE"/>
        </w:rPr>
        <w:t>qu’est</w:t>
      </w:r>
      <w:proofErr w:type="spellEnd"/>
      <w:r w:rsidRPr="00512650">
        <w:rPr>
          <w:i/>
          <w:lang w:val="de-DE"/>
        </w:rPr>
        <w:t xml:space="preserve"> </w:t>
      </w:r>
      <w:proofErr w:type="spellStart"/>
      <w:r w:rsidRPr="00512650">
        <w:rPr>
          <w:i/>
          <w:lang w:val="de-DE"/>
        </w:rPr>
        <w:t>ce</w:t>
      </w:r>
      <w:proofErr w:type="spellEnd"/>
      <w:r w:rsidRPr="00512650">
        <w:rPr>
          <w:i/>
          <w:lang w:val="de-DE"/>
        </w:rPr>
        <w:t xml:space="preserve"> </w:t>
      </w:r>
      <w:proofErr w:type="spellStart"/>
      <w:r w:rsidRPr="00512650">
        <w:rPr>
          <w:i/>
          <w:lang w:val="de-DE"/>
        </w:rPr>
        <w:t>que</w:t>
      </w:r>
      <w:proofErr w:type="spellEnd"/>
      <w:r w:rsidRPr="00512650">
        <w:rPr>
          <w:i/>
          <w:lang w:val="de-DE"/>
        </w:rPr>
        <w:t xml:space="preserve"> </w:t>
      </w:r>
      <w:proofErr w:type="spellStart"/>
      <w:r w:rsidRPr="00512650">
        <w:rPr>
          <w:i/>
          <w:lang w:val="de-DE"/>
        </w:rPr>
        <w:t>c’est</w:t>
      </w:r>
      <w:proofErr w:type="spellEnd"/>
      <w:r w:rsidRPr="00512650">
        <w:rPr>
          <w:i/>
          <w:lang w:val="de-DE"/>
        </w:rPr>
        <w:t xml:space="preserve">, </w:t>
      </w:r>
      <w:proofErr w:type="spellStart"/>
      <w:r w:rsidRPr="00512650">
        <w:rPr>
          <w:i/>
          <w:lang w:val="de-DE"/>
        </w:rPr>
        <w:t>que</w:t>
      </w:r>
      <w:proofErr w:type="spellEnd"/>
      <w:r w:rsidRPr="00512650">
        <w:rPr>
          <w:i/>
          <w:lang w:val="de-DE"/>
        </w:rPr>
        <w:t xml:space="preserve"> </w:t>
      </w:r>
      <w:proofErr w:type="spellStart"/>
      <w:r w:rsidRPr="00512650">
        <w:rPr>
          <w:i/>
          <w:lang w:val="de-DE"/>
        </w:rPr>
        <w:t>ça</w:t>
      </w:r>
      <w:proofErr w:type="spellEnd"/>
      <w:r w:rsidRPr="00512650">
        <w:rPr>
          <w:i/>
          <w:lang w:val="de-DE"/>
        </w:rPr>
        <w:t xml:space="preserve">? </w:t>
      </w:r>
      <w:r>
        <w:rPr>
          <w:lang w:val="de-DE"/>
        </w:rPr>
        <w:t xml:space="preserve">Hier ist ein Mann – dort ist eine Frau. Es ist das Gesetz der Natur, dass sie sich gegenseitig begehren, und man kann </w:t>
      </w:r>
      <w:r w:rsidR="00634E37">
        <w:rPr>
          <w:lang w:val="de-DE"/>
        </w:rPr>
        <w:t>ebenso wenig</w:t>
      </w:r>
      <w:r>
        <w:rPr>
          <w:lang w:val="de-DE"/>
        </w:rPr>
        <w:t xml:space="preserve"> hoffen, sie durch Theoretisieren und Philosophieren auseinanderzuhalten, </w:t>
      </w:r>
      <w:r w:rsidR="00634E37">
        <w:rPr>
          <w:lang w:val="de-DE"/>
        </w:rPr>
        <w:t>wie man hoffen kann</w:t>
      </w:r>
      <w:r>
        <w:rPr>
          <w:lang w:val="de-DE"/>
        </w:rPr>
        <w:t xml:space="preserve">, den Wind vom </w:t>
      </w:r>
      <w:r w:rsidR="00634E37">
        <w:rPr>
          <w:lang w:val="de-DE"/>
        </w:rPr>
        <w:t>W</w:t>
      </w:r>
      <w:r>
        <w:rPr>
          <w:lang w:val="de-DE"/>
        </w:rPr>
        <w:t xml:space="preserve">ehen abzuhalten oder die Flut vom Ansteigen oder </w:t>
      </w:r>
      <w:r w:rsidR="00634E37">
        <w:rPr>
          <w:lang w:val="de-DE"/>
        </w:rPr>
        <w:t>die Bäume vom</w:t>
      </w:r>
      <w:r>
        <w:rPr>
          <w:lang w:val="de-DE"/>
        </w:rPr>
        <w:t xml:space="preserve"> Sprießen im Frühling.“</w:t>
      </w:r>
      <w:r>
        <w:rPr>
          <w:rStyle w:val="FootnoteReference"/>
          <w:lang w:val="de-DE"/>
        </w:rPr>
        <w:footnoteReference w:id="7"/>
      </w:r>
    </w:p>
    <w:p w:rsidR="002C2BF9" w:rsidRDefault="002C2BF9" w:rsidP="003D1BFA">
      <w:pPr>
        <w:spacing w:line="360" w:lineRule="auto"/>
        <w:rPr>
          <w:lang w:val="de-DE"/>
        </w:rPr>
      </w:pPr>
    </w:p>
    <w:p w:rsidR="00741D2D" w:rsidRDefault="002C2BF9" w:rsidP="003D1BFA">
      <w:pPr>
        <w:spacing w:line="360" w:lineRule="auto"/>
        <w:rPr>
          <w:lang w:val="de-DE"/>
        </w:rPr>
      </w:pPr>
      <w:r w:rsidRPr="002F0C76">
        <w:rPr>
          <w:lang w:val="de-DE"/>
        </w:rPr>
        <w:t>Tolstoi asketisches Ideal nennt Zola widernat</w:t>
      </w:r>
      <w:r>
        <w:rPr>
          <w:lang w:val="de-DE"/>
        </w:rPr>
        <w:t xml:space="preserve">ürlich. Als Gegenentwurf wird Zola im Jahr das Buch </w:t>
      </w:r>
      <w:proofErr w:type="spellStart"/>
      <w:r w:rsidRPr="00634E37">
        <w:rPr>
          <w:i/>
          <w:lang w:val="de-DE"/>
        </w:rPr>
        <w:t>Fecondit</w:t>
      </w:r>
      <w:r w:rsidR="00634E37" w:rsidRPr="00634E37">
        <w:rPr>
          <w:i/>
          <w:lang w:val="de-DE"/>
        </w:rPr>
        <w:t>é</w:t>
      </w:r>
      <w:proofErr w:type="spellEnd"/>
      <w:r>
        <w:rPr>
          <w:lang w:val="de-DE"/>
        </w:rPr>
        <w:t xml:space="preserve"> schreiben</w:t>
      </w:r>
      <w:r>
        <w:rPr>
          <w:rStyle w:val="FootnoteReference"/>
          <w:lang w:val="de-DE"/>
        </w:rPr>
        <w:footnoteReference w:id="8"/>
      </w:r>
      <w:r>
        <w:rPr>
          <w:lang w:val="de-DE"/>
        </w:rPr>
        <w:t xml:space="preserve">. Und noch in seinem letzten Jahr, in einem Interview über Zolas </w:t>
      </w:r>
      <w:proofErr w:type="spellStart"/>
      <w:r w:rsidRPr="00EB58BF">
        <w:rPr>
          <w:i/>
          <w:lang w:val="de-DE"/>
        </w:rPr>
        <w:t>Kreutzersonate</w:t>
      </w:r>
      <w:proofErr w:type="spellEnd"/>
      <w:r w:rsidRPr="00EB58BF">
        <w:rPr>
          <w:lang w:val="de-DE"/>
        </w:rPr>
        <w:t xml:space="preserve">, </w:t>
      </w:r>
      <w:r w:rsidR="00513B55" w:rsidRPr="00EB58BF">
        <w:rPr>
          <w:lang w:val="de-DE"/>
        </w:rPr>
        <w:t>beteuert Zola er sei für Mäßigung und gegen Ausschweifungen, aber das Verlangen könne man nicht bekämpfen, es sei latent: „Es ist das Verlangen, das die Welt erhebt, das gebiert“</w:t>
      </w:r>
      <w:r w:rsidR="00513B55" w:rsidRPr="00EB58BF">
        <w:rPr>
          <w:rStyle w:val="FootnoteReference"/>
          <w:lang w:val="de-DE"/>
        </w:rPr>
        <w:t xml:space="preserve"> </w:t>
      </w:r>
      <w:r w:rsidR="00513B55" w:rsidRPr="00EB58BF">
        <w:rPr>
          <w:rStyle w:val="FootnoteReference"/>
        </w:rPr>
        <w:footnoteReference w:id="9"/>
      </w:r>
      <w:r w:rsidR="00513B55" w:rsidRPr="00EB58BF">
        <w:rPr>
          <w:lang w:val="de-DE"/>
        </w:rPr>
        <w:t xml:space="preserve"> Alles andere, so Zola, sei nichts als „Mystik, Hirn</w:t>
      </w:r>
      <w:r w:rsidR="00CE1D82" w:rsidRPr="00EB58BF">
        <w:rPr>
          <w:lang w:val="de-DE"/>
        </w:rPr>
        <w:t>dampf</w:t>
      </w:r>
      <w:r w:rsidR="00513B55" w:rsidRPr="00EB58BF">
        <w:rPr>
          <w:lang w:val="de-DE"/>
        </w:rPr>
        <w:t xml:space="preserve"> ... Träume und Ärger“</w:t>
      </w:r>
      <w:r w:rsidR="001A6B4E" w:rsidRPr="00EB58BF">
        <w:rPr>
          <w:rStyle w:val="FootnoteReference"/>
          <w:lang w:val="de-DE"/>
        </w:rPr>
        <w:footnoteReference w:id="10"/>
      </w:r>
      <w:r w:rsidR="001A6B4E" w:rsidRPr="00EB58BF">
        <w:rPr>
          <w:lang w:val="de-DE"/>
        </w:rPr>
        <w:t>. Tolstoi, der russische Mystiker, vertreibe mit seinen Broschüren nichts als unpräzise Träume.</w:t>
      </w:r>
      <w:r w:rsidRPr="00EB58BF">
        <w:rPr>
          <w:rStyle w:val="FootnoteReference"/>
        </w:rPr>
        <w:footnoteReference w:id="11"/>
      </w:r>
      <w:r w:rsidRPr="00EB58BF">
        <w:rPr>
          <w:lang w:val="de-DE"/>
        </w:rPr>
        <w:t xml:space="preserve"> </w:t>
      </w:r>
      <w:r w:rsidR="00CE1D82" w:rsidRPr="00EB58BF">
        <w:rPr>
          <w:lang w:val="de-DE"/>
        </w:rPr>
        <w:t xml:space="preserve">Für Zola, den orthodoxen Positivisten, ist die Sphäre des Idealen nichts als Mystik und Traum, so wie es Auguste Comte gelehrt hatte. Das Wort </w:t>
      </w:r>
      <w:r w:rsidR="00CE1D82" w:rsidRPr="00EB58BF">
        <w:rPr>
          <w:i/>
          <w:lang w:val="de-DE"/>
        </w:rPr>
        <w:t>positiv</w:t>
      </w:r>
      <w:r w:rsidR="00CE1D82" w:rsidRPr="00EB58BF">
        <w:rPr>
          <w:lang w:val="de-DE"/>
        </w:rPr>
        <w:t xml:space="preserve">, welches eine solch wichtige Rolle für Comte spielte, ähnlich wie </w:t>
      </w:r>
      <w:r w:rsidR="00CE1D82" w:rsidRPr="00EB58BF">
        <w:rPr>
          <w:i/>
          <w:lang w:val="de-DE"/>
        </w:rPr>
        <w:t>natürlich</w:t>
      </w:r>
      <w:r w:rsidR="00CE1D82" w:rsidRPr="00EB58BF">
        <w:rPr>
          <w:lang w:val="de-DE"/>
        </w:rPr>
        <w:t xml:space="preserve"> für Zola, bezeichnet das „</w:t>
      </w:r>
      <w:r w:rsidR="00CE1D82" w:rsidRPr="00EB58BF">
        <w:rPr>
          <w:i/>
          <w:lang w:val="de-DE"/>
        </w:rPr>
        <w:t>Tatsächliche</w:t>
      </w:r>
      <w:r w:rsidR="00CE1D82" w:rsidRPr="00EB58BF">
        <w:rPr>
          <w:lang w:val="de-DE"/>
        </w:rPr>
        <w:t xml:space="preserve"> im Gegensatz zum Eingebildeten“</w:t>
      </w:r>
      <w:r w:rsidR="00EB58BF">
        <w:rPr>
          <w:rStyle w:val="FootnoteReference"/>
          <w:lang w:val="de-DE"/>
        </w:rPr>
        <w:footnoteReference w:id="12"/>
      </w:r>
      <w:r w:rsidR="00EB58BF">
        <w:rPr>
          <w:lang w:val="de-DE"/>
        </w:rPr>
        <w:t>,</w:t>
      </w:r>
      <w:r w:rsidR="00CE1D82" w:rsidRPr="00EB58BF">
        <w:rPr>
          <w:lang w:val="de-DE"/>
        </w:rPr>
        <w:t xml:space="preserve"> </w:t>
      </w:r>
      <w:r w:rsidR="00741D2D" w:rsidRPr="00EB58BF">
        <w:rPr>
          <w:lang w:val="de-DE"/>
        </w:rPr>
        <w:t>weiterhin verweist es auf den Gegensatz von gewiss und unentschieden, genau und ungenau.</w:t>
      </w:r>
      <w:r w:rsidR="00741D2D" w:rsidRPr="00EB58BF">
        <w:rPr>
          <w:rStyle w:val="FootnoteReference"/>
          <w:lang w:val="de-DE"/>
        </w:rPr>
        <w:footnoteReference w:id="13"/>
      </w:r>
      <w:r w:rsidR="00741D2D" w:rsidRPr="00EB58BF">
        <w:rPr>
          <w:lang w:val="de-DE"/>
        </w:rPr>
        <w:t xml:space="preserve"> Die positivistische wissenschaftliche bzw. die naturalistische künstlerische Methode </w:t>
      </w:r>
      <w:r w:rsidR="00741D2D" w:rsidRPr="00EB58BF">
        <w:rPr>
          <w:color w:val="000000"/>
          <w:shd w:val="clear" w:color="auto" w:fill="FFFFFF"/>
          <w:lang w:val="de-DE"/>
        </w:rPr>
        <w:t xml:space="preserve">stütze sich auf die Methode des Beobachtens und Experimentierens, daher </w:t>
      </w:r>
      <w:r w:rsidR="00EB58BF">
        <w:rPr>
          <w:color w:val="000000"/>
          <w:shd w:val="clear" w:color="auto" w:fill="FFFFFF"/>
          <w:lang w:val="de-DE"/>
        </w:rPr>
        <w:t>nennt Zola sein künstlerisches Programm</w:t>
      </w:r>
      <w:r w:rsidR="00741D2D" w:rsidRPr="00EB58BF">
        <w:rPr>
          <w:color w:val="000000"/>
          <w:shd w:val="clear" w:color="auto" w:fill="FFFFFF"/>
          <w:lang w:val="de-DE"/>
        </w:rPr>
        <w:t xml:space="preserve"> Experimentalroman, dabei ausgehend von der beobachtbaren und manipulierbaren Realität, wobei diese Methode dem entgegengesetzt ist, was Zola den Idealismus nennt: </w:t>
      </w:r>
      <w:r w:rsidR="00741D2D" w:rsidRPr="00EB58BF">
        <w:rPr>
          <w:lang w:val="de-DE"/>
        </w:rPr>
        <w:t xml:space="preserve">„hier bezeichnet das Wort idealistisch die Schriftsteller, die sich der Beobachtung und Erfahrung entschlagen, um ihre Werke auf eine </w:t>
      </w:r>
      <w:proofErr w:type="spellStart"/>
      <w:r w:rsidR="00741D2D" w:rsidRPr="00EB58BF">
        <w:rPr>
          <w:lang w:val="de-DE"/>
        </w:rPr>
        <w:t>übernatürliche</w:t>
      </w:r>
      <w:proofErr w:type="spellEnd"/>
      <w:r w:rsidR="00741D2D" w:rsidRPr="00EB58BF">
        <w:rPr>
          <w:lang w:val="de-DE"/>
        </w:rPr>
        <w:t xml:space="preserve"> und idealistische Gr</w:t>
      </w:r>
      <w:r w:rsidR="00EB58BF">
        <w:rPr>
          <w:lang w:val="de-DE"/>
        </w:rPr>
        <w:t>u</w:t>
      </w:r>
      <w:r w:rsidR="00741D2D" w:rsidRPr="00EB58BF">
        <w:rPr>
          <w:lang w:val="de-DE"/>
        </w:rPr>
        <w:t xml:space="preserve">ndlage zu stellen, die mit einem Wort jenseits des Determinismus der Erscheinungen </w:t>
      </w:r>
      <w:proofErr w:type="spellStart"/>
      <w:r w:rsidR="00741D2D" w:rsidRPr="00EB58BF">
        <w:rPr>
          <w:lang w:val="de-DE"/>
        </w:rPr>
        <w:t>mysteriöse</w:t>
      </w:r>
      <w:proofErr w:type="spellEnd"/>
      <w:r w:rsidR="00741D2D" w:rsidRPr="00EB58BF">
        <w:rPr>
          <w:lang w:val="de-DE"/>
        </w:rPr>
        <w:t xml:space="preserve"> </w:t>
      </w:r>
      <w:proofErr w:type="spellStart"/>
      <w:r w:rsidR="00741D2D" w:rsidRPr="00EB58BF">
        <w:rPr>
          <w:lang w:val="de-DE"/>
        </w:rPr>
        <w:t>Kräfte</w:t>
      </w:r>
      <w:proofErr w:type="spellEnd"/>
      <w:r w:rsidR="00741D2D" w:rsidRPr="00EB58BF">
        <w:rPr>
          <w:lang w:val="de-DE"/>
        </w:rPr>
        <w:t xml:space="preserve"> annehmen.“</w:t>
      </w:r>
      <w:r w:rsidR="00741D2D" w:rsidRPr="00EB58BF">
        <w:rPr>
          <w:rStyle w:val="FootnoteReference"/>
          <w:lang w:val="de-DE"/>
        </w:rPr>
        <w:footnoteReference w:id="14"/>
      </w:r>
      <w:r w:rsidR="004F62FF" w:rsidRPr="00EB58BF">
        <w:rPr>
          <w:lang w:val="de-DE"/>
        </w:rPr>
        <w:t xml:space="preserve"> </w:t>
      </w:r>
      <w:r w:rsidR="004F62FF" w:rsidRPr="00EB58BF">
        <w:rPr>
          <w:rStyle w:val="FootnoteReference"/>
          <w:lang w:val="de-DE"/>
        </w:rPr>
        <w:footnoteReference w:id="15"/>
      </w:r>
      <w:r w:rsidR="00466D18">
        <w:rPr>
          <w:lang w:val="de-DE"/>
        </w:rPr>
        <w:t xml:space="preserve"> </w:t>
      </w:r>
      <w:r w:rsidR="00C36B02">
        <w:rPr>
          <w:lang w:val="de-DE"/>
        </w:rPr>
        <w:t xml:space="preserve">Der deutsche Naturalist Michael Georg </w:t>
      </w:r>
      <w:r w:rsidR="00C36B02">
        <w:rPr>
          <w:lang w:val="de-DE"/>
        </w:rPr>
        <w:lastRenderedPageBreak/>
        <w:t>Conrad feiert Zola auf Grund der Tatsache, dass er den „konventionellen Hirngespinsten“</w:t>
      </w:r>
      <w:r w:rsidR="006513A6" w:rsidRPr="006513A6">
        <w:rPr>
          <w:rStyle w:val="FootnoteReference"/>
          <w:lang w:val="de-DE"/>
        </w:rPr>
        <w:t xml:space="preserve"> </w:t>
      </w:r>
      <w:r w:rsidR="006513A6">
        <w:rPr>
          <w:rStyle w:val="FootnoteReference"/>
          <w:lang w:val="de-DE"/>
        </w:rPr>
        <w:footnoteReference w:id="16"/>
      </w:r>
      <w:r w:rsidR="00C36B02">
        <w:rPr>
          <w:lang w:val="de-DE"/>
        </w:rPr>
        <w:t xml:space="preserve"> den Rücken </w:t>
      </w:r>
      <w:r w:rsidR="006513A6">
        <w:rPr>
          <w:lang w:val="de-DE"/>
        </w:rPr>
        <w:t>kehre, ohne „idealisierende Flunkerei“</w:t>
      </w:r>
      <w:r w:rsidR="006513A6">
        <w:rPr>
          <w:rStyle w:val="FootnoteReference"/>
          <w:lang w:val="de-DE"/>
        </w:rPr>
        <w:footnoteReference w:id="17"/>
      </w:r>
      <w:r w:rsidR="006513A6">
        <w:rPr>
          <w:lang w:val="de-DE"/>
        </w:rPr>
        <w:t xml:space="preserve">. </w:t>
      </w:r>
    </w:p>
    <w:p w:rsidR="00466D18" w:rsidRPr="00513B55" w:rsidRDefault="00466D18" w:rsidP="003D1BFA">
      <w:pPr>
        <w:spacing w:line="360" w:lineRule="auto"/>
        <w:rPr>
          <w:lang w:val="de-DE"/>
        </w:rPr>
      </w:pPr>
    </w:p>
    <w:p w:rsidR="006D1508" w:rsidRDefault="006D1508" w:rsidP="003D1BFA">
      <w:pPr>
        <w:spacing w:line="360" w:lineRule="auto"/>
        <w:rPr>
          <w:lang w:val="de-DE"/>
        </w:rPr>
      </w:pPr>
      <w:r w:rsidRPr="006D1508">
        <w:rPr>
          <w:lang w:val="de-DE"/>
        </w:rPr>
        <w:t xml:space="preserve">Was </w:t>
      </w:r>
      <w:r>
        <w:rPr>
          <w:lang w:val="de-DE"/>
        </w:rPr>
        <w:t xml:space="preserve">Zola einen unpräzisen Traum nennt, war für Tolstoi seit seinem 50. Lebensjahr </w:t>
      </w:r>
      <w:r w:rsidR="00E12135">
        <w:rPr>
          <w:lang w:val="de-DE"/>
        </w:rPr>
        <w:t>zur einzigen</w:t>
      </w:r>
      <w:r>
        <w:rPr>
          <w:lang w:val="de-DE"/>
        </w:rPr>
        <w:t xml:space="preserve"> Realität geworden</w:t>
      </w:r>
      <w:r w:rsidR="00E12135">
        <w:rPr>
          <w:lang w:val="de-DE"/>
        </w:rPr>
        <w:t xml:space="preserve">. Eine Realität, welcher der Wirklichkeit, welche Zola die Natur nannte, erst ihren Sinn gab. Sich der Natur hinzugeben, sich seinen Leidenschaften hinzugeben, das war ja eben die Quelle allen Übels und Tolstois Schmerz an der Welt. </w:t>
      </w:r>
      <w:r w:rsidR="001A6B4E">
        <w:rPr>
          <w:lang w:val="de-DE"/>
        </w:rPr>
        <w:t xml:space="preserve">Der Tod, so Tolstoi, stellt die Frage nach dem Sinn des Lebens. Was für einen Sinn hat der Kreislauf des Lebens, des Entstehens und Vergehens? Entstehen und Vergehen wofür? </w:t>
      </w:r>
      <w:r w:rsidR="002C2BF9">
        <w:rPr>
          <w:lang w:val="de-DE"/>
        </w:rPr>
        <w:t>Tolstoi musste eine Antwort auf die Frage finden: „Hat mein Leben einen Zweck, der durch den unausbleiblichen, mir bevorstehenden Tod nicht aufgehoben wird?“</w:t>
      </w:r>
      <w:r w:rsidR="002C2BF9">
        <w:rPr>
          <w:rStyle w:val="FootnoteReference"/>
          <w:lang w:val="de-DE"/>
        </w:rPr>
        <w:footnoteReference w:id="18"/>
      </w:r>
      <w:r w:rsidR="002C2BF9">
        <w:rPr>
          <w:lang w:val="de-DE"/>
        </w:rPr>
        <w:t xml:space="preserve"> </w:t>
      </w:r>
      <w:r w:rsidR="001A6B4E">
        <w:rPr>
          <w:lang w:val="de-DE"/>
        </w:rPr>
        <w:t xml:space="preserve">Was für einen Sinn hat der ewige Kreislauf von Geborenwerden und Sterben? Ist dies das letzte Wort, so kann man sich selbst das Leben nehmen, was keinerlei Unterschied macht. </w:t>
      </w:r>
    </w:p>
    <w:p w:rsidR="001A6B4E" w:rsidRDefault="001A6B4E" w:rsidP="003D1BFA">
      <w:pPr>
        <w:spacing w:line="360" w:lineRule="auto"/>
        <w:rPr>
          <w:lang w:val="de-DE"/>
        </w:rPr>
      </w:pPr>
    </w:p>
    <w:p w:rsidR="00AC104B" w:rsidRDefault="00AC104B" w:rsidP="003D1BFA">
      <w:pPr>
        <w:spacing w:line="360" w:lineRule="auto"/>
        <w:rPr>
          <w:lang w:val="de-DE"/>
        </w:rPr>
      </w:pPr>
      <w:r>
        <w:rPr>
          <w:lang w:val="de-DE"/>
        </w:rPr>
        <w:t>Was Tolstoi aus seiner Krise gerettet hat und was ihn dazu veranlasst hat zu sagen: „Ich bin seit 1877 ein ganz neuer Mensch geworden. Ich zähle nur diese Zeit. Was vorher liegt, ist Eitelkeit und Selbstsucht.“</w:t>
      </w:r>
      <w:r>
        <w:rPr>
          <w:rStyle w:val="FootnoteReference"/>
          <w:lang w:val="de-DE"/>
        </w:rPr>
        <w:footnoteReference w:id="19"/>
      </w:r>
      <w:r>
        <w:rPr>
          <w:lang w:val="de-DE"/>
        </w:rPr>
        <w:t xml:space="preserve"> Ist die Einsicht daran, dass es eine andere Realität geben muss, welche unserem Leben einen Sinn mitteilt. Diese Realität ist nicht die Wirklichkeit, welche uns umgibt, und welche der sinnlichen Wahrnehmung zugänglich ist. Diese Realität ist in der Sphäre des Geistes. Diese Sphäre ist jedem Menschen zugänglich, jedoch nicht mit den Methoden der positivistischen Wissenschaften zugänglich. Es ist die Sphäre der überzeitlichen Idee: </w:t>
      </w:r>
    </w:p>
    <w:p w:rsidR="001E0D6F" w:rsidRDefault="001E0D6F" w:rsidP="003D1BFA">
      <w:pPr>
        <w:spacing w:line="360" w:lineRule="auto"/>
        <w:rPr>
          <w:lang w:val="de-DE"/>
        </w:rPr>
      </w:pPr>
      <w:r>
        <w:rPr>
          <w:lang w:val="de-DE"/>
        </w:rPr>
        <w:t>Der erste Schritt für Tolstoi nach Erkenntnis der den Tod überdauernden Wahrheit ist di</w:t>
      </w:r>
      <w:r w:rsidR="00AC104B">
        <w:rPr>
          <w:lang w:val="de-DE"/>
        </w:rPr>
        <w:t>e Erkenntnis und Anerkennung dieser Idee</w:t>
      </w:r>
      <w:r>
        <w:rPr>
          <w:lang w:val="de-DE"/>
        </w:rPr>
        <w:t xml:space="preserve">: „Es gibt nur eine einzige Rettung aus Eurer Lage: haltzumachen, zur Besinnung zu kommen, sich umzublicken und sich Ideale suchen, das heißt etwas, das so ist, wie man selbst sein möchte, und so zu leben, </w:t>
      </w:r>
      <w:proofErr w:type="spellStart"/>
      <w:r>
        <w:rPr>
          <w:lang w:val="de-DE"/>
        </w:rPr>
        <w:t>daß</w:t>
      </w:r>
      <w:proofErr w:type="spellEnd"/>
      <w:r>
        <w:rPr>
          <w:lang w:val="de-DE"/>
        </w:rPr>
        <w:t xml:space="preserve"> man wird, wie man sein möchte.“</w:t>
      </w:r>
      <w:r>
        <w:rPr>
          <w:rStyle w:val="FootnoteReference"/>
          <w:lang w:val="de-DE"/>
        </w:rPr>
        <w:footnoteReference w:id="20"/>
      </w:r>
      <w:r>
        <w:rPr>
          <w:lang w:val="de-DE"/>
        </w:rPr>
        <w:t xml:space="preserve"> </w:t>
      </w:r>
      <w:r w:rsidR="00AC104B">
        <w:rPr>
          <w:lang w:val="de-DE"/>
        </w:rPr>
        <w:t>Es ist das bekannte Wort Augustins: „und unruhig ist unser Herz, bis es ruht in dir.“</w:t>
      </w:r>
      <w:r w:rsidR="00AC104B">
        <w:rPr>
          <w:rStyle w:val="FootnoteReference"/>
          <w:lang w:val="de-DE"/>
        </w:rPr>
        <w:footnoteReference w:id="21"/>
      </w:r>
      <w:r w:rsidR="00AC104B">
        <w:rPr>
          <w:lang w:val="de-DE"/>
        </w:rPr>
        <w:t xml:space="preserve"> Was sonst könnte </w:t>
      </w:r>
      <w:r w:rsidR="00CA58C5">
        <w:rPr>
          <w:lang w:val="de-DE"/>
        </w:rPr>
        <w:t xml:space="preserve">das Verlangen nach Unsterblichkeit befriedigen als das Absolute? Die Zeit also vor seiner Bekehrung, Eitelkeit und Selbstsucht, zeichnet sich durch Egoismus aus, wie sie in der Natur vorkommt: vernichten, um selbst leben zu können, wie es Zola propagiert. Jedes Lebewesen ist an seinem eigenen Überleben interessiert, aber durch die Reproduktion wird dadurch das Überleben der Gattung gesichert. Ein solches entweder egoistisches oder gattungszentriertes Denken kann niemals das Verlangen nach einem überzeitlichen Sinn des eigenen Daseins beantworten. Das kann allein </w:t>
      </w:r>
    </w:p>
    <w:p w:rsidR="00CA58C5" w:rsidRDefault="00CA58C5" w:rsidP="003D1BFA">
      <w:pPr>
        <w:spacing w:line="360" w:lineRule="auto"/>
        <w:rPr>
          <w:lang w:val="de-DE"/>
        </w:rPr>
      </w:pPr>
    </w:p>
    <w:p w:rsidR="00CA58C5" w:rsidRDefault="00CA58C5" w:rsidP="003D1BFA">
      <w:pPr>
        <w:rPr>
          <w:lang w:val="de-DE"/>
        </w:rPr>
      </w:pPr>
      <w:r>
        <w:rPr>
          <w:lang w:val="de-DE"/>
        </w:rPr>
        <w:t>„Gott erkennen und leben ist ein und dasselbe. Gott ist das Leben. Lebe, indem du Gott siehst, und dann wird es kein Leben ohne Gott geben. Und wiederum und stärker als je wurde alles in mir und um mich her hell, und dieses Licht verließ mich nie mehr.</w:t>
      </w:r>
    </w:p>
    <w:p w:rsidR="00CA58C5" w:rsidRDefault="00CA58C5" w:rsidP="003D1BFA">
      <w:pPr>
        <w:rPr>
          <w:lang w:val="de-DE"/>
        </w:rPr>
      </w:pPr>
      <w:r>
        <w:rPr>
          <w:lang w:val="de-DE"/>
        </w:rPr>
        <w:t>Und ich wurde vor dem Selbstmord errettet.</w:t>
      </w:r>
      <w:r w:rsidR="00723E5A">
        <w:rPr>
          <w:lang w:val="de-DE"/>
        </w:rPr>
        <w:t>“</w:t>
      </w:r>
      <w:r w:rsidR="00CF3D93">
        <w:rPr>
          <w:rStyle w:val="FootnoteReference"/>
          <w:lang w:val="de-DE"/>
        </w:rPr>
        <w:footnoteReference w:id="22"/>
      </w:r>
      <w:r w:rsidR="00723E5A">
        <w:rPr>
          <w:lang w:val="de-DE"/>
        </w:rPr>
        <w:t xml:space="preserve"> </w:t>
      </w:r>
    </w:p>
    <w:p w:rsidR="006D1508" w:rsidRDefault="006D1508" w:rsidP="003D1BFA">
      <w:pPr>
        <w:spacing w:line="360" w:lineRule="auto"/>
        <w:rPr>
          <w:lang w:val="de-DE"/>
        </w:rPr>
      </w:pPr>
    </w:p>
    <w:p w:rsidR="00CA58C5" w:rsidRDefault="00CA58C5" w:rsidP="003D1BFA">
      <w:pPr>
        <w:spacing w:line="360" w:lineRule="auto"/>
        <w:rPr>
          <w:lang w:val="de-DE"/>
        </w:rPr>
      </w:pPr>
      <w:r>
        <w:rPr>
          <w:lang w:val="de-DE"/>
        </w:rPr>
        <w:lastRenderedPageBreak/>
        <w:t xml:space="preserve">„Man </w:t>
      </w:r>
      <w:proofErr w:type="spellStart"/>
      <w:r>
        <w:rPr>
          <w:lang w:val="de-DE"/>
        </w:rPr>
        <w:t>muß</w:t>
      </w:r>
      <w:proofErr w:type="spellEnd"/>
      <w:r>
        <w:rPr>
          <w:lang w:val="de-DE"/>
        </w:rPr>
        <w:t xml:space="preserve"> begreifen, </w:t>
      </w:r>
      <w:proofErr w:type="spellStart"/>
      <w:r>
        <w:rPr>
          <w:lang w:val="de-DE"/>
        </w:rPr>
        <w:t>daß</w:t>
      </w:r>
      <w:proofErr w:type="spellEnd"/>
      <w:r>
        <w:rPr>
          <w:lang w:val="de-DE"/>
        </w:rPr>
        <w:t xml:space="preserve"> die einzige Rettung vom unvermeidlichen Untergange des Lebens das gemeinschaftliche Leben nach dem Willen des Herrn ist.“</w:t>
      </w:r>
      <w:r w:rsidR="00CF3D93">
        <w:rPr>
          <w:rStyle w:val="FootnoteReference"/>
          <w:lang w:val="de-DE"/>
        </w:rPr>
        <w:footnoteReference w:id="23"/>
      </w:r>
      <w:r>
        <w:rPr>
          <w:lang w:val="de-DE"/>
        </w:rPr>
        <w:t xml:space="preserve"> </w:t>
      </w:r>
    </w:p>
    <w:p w:rsidR="00CA58C5" w:rsidRDefault="00CA58C5" w:rsidP="003D1BFA">
      <w:pPr>
        <w:spacing w:line="360" w:lineRule="auto"/>
        <w:rPr>
          <w:lang w:val="de-DE"/>
        </w:rPr>
      </w:pPr>
    </w:p>
    <w:p w:rsidR="003D1BFA" w:rsidRDefault="00CA58C5" w:rsidP="003D1BFA">
      <w:pPr>
        <w:spacing w:line="360" w:lineRule="auto"/>
        <w:rPr>
          <w:lang w:val="de-DE"/>
        </w:rPr>
      </w:pPr>
      <w:r>
        <w:rPr>
          <w:lang w:val="de-DE"/>
        </w:rPr>
        <w:t xml:space="preserve">Dieser Idealismus ist für Tolstoi verbunden mit Überwindung des Egoismus, oder anders ausgedrückt: Enthaltsamkeit. </w:t>
      </w:r>
      <w:r w:rsidR="00E1085E">
        <w:rPr>
          <w:lang w:val="de-DE"/>
        </w:rPr>
        <w:t xml:space="preserve">Ideal und Wirklichkeit: es gilt, die Wirklichkeit nach dem Ideal zu gestalten, zu erhöhen. Und das heißt eben auch, sich gegen die Wirklichkeit und für das Ideal zu entscheiden. Das Ideal ist dem Menschen durch seinen Geist zugänglich, und kraft dieser Einsicht kann der Mensch sich für das Ideal und gegen die Wirklichkeit entscheiden: </w:t>
      </w:r>
    </w:p>
    <w:p w:rsidR="003D1BFA" w:rsidRDefault="003D1BFA" w:rsidP="003D1BFA">
      <w:pPr>
        <w:spacing w:line="360" w:lineRule="auto"/>
        <w:rPr>
          <w:lang w:val="de-DE"/>
        </w:rPr>
      </w:pPr>
    </w:p>
    <w:p w:rsidR="00E1085E" w:rsidRDefault="00E1085E" w:rsidP="003D1BFA">
      <w:pPr>
        <w:rPr>
          <w:lang w:val="de-DE"/>
        </w:rPr>
      </w:pPr>
      <w:r>
        <w:rPr>
          <w:lang w:val="de-DE"/>
        </w:rPr>
        <w:t xml:space="preserve">„Der Mensch ist das Lebewesen, das kraft seines Geistes sich zu seinem Leben, das heftig es durchschauert, prinzipiell </w:t>
      </w:r>
      <w:r w:rsidRPr="00453D09">
        <w:rPr>
          <w:i/>
          <w:lang w:val="de-DE"/>
        </w:rPr>
        <w:t>asketisch</w:t>
      </w:r>
      <w:r>
        <w:rPr>
          <w:lang w:val="de-DE"/>
        </w:rPr>
        <w:t xml:space="preserve"> – die eigenen Triebimpulse unterdrückend und verdrängend, d.h. ihnen Nahrung durch Wahrnehmungsbilder und Vorstellungen </w:t>
      </w:r>
      <w:r w:rsidRPr="008F1601">
        <w:rPr>
          <w:i/>
          <w:lang w:val="de-DE"/>
        </w:rPr>
        <w:t>versagend</w:t>
      </w:r>
      <w:r>
        <w:rPr>
          <w:lang w:val="de-DE"/>
        </w:rPr>
        <w:t xml:space="preserve"> – verhalten kann. </w:t>
      </w:r>
      <w:proofErr w:type="gramStart"/>
      <w:r>
        <w:rPr>
          <w:lang w:val="de-DE"/>
        </w:rPr>
        <w:t>Mit dem Tiere</w:t>
      </w:r>
      <w:proofErr w:type="gramEnd"/>
      <w:r>
        <w:rPr>
          <w:lang w:val="de-DE"/>
        </w:rPr>
        <w:t xml:space="preserve"> verglichen, das immer ‚Ja‘ zum Wirklichen sagt – auch da noch, wo es verabscheut und flieht –, ist </w:t>
      </w:r>
      <w:r w:rsidRPr="008F1601">
        <w:rPr>
          <w:i/>
          <w:lang w:val="de-DE"/>
        </w:rPr>
        <w:t>der Mensch der ‚</w:t>
      </w:r>
      <w:proofErr w:type="spellStart"/>
      <w:r w:rsidRPr="008F1601">
        <w:rPr>
          <w:i/>
          <w:lang w:val="de-DE"/>
        </w:rPr>
        <w:t>Neinsagenkönner</w:t>
      </w:r>
      <w:proofErr w:type="spellEnd"/>
      <w:r>
        <w:rPr>
          <w:lang w:val="de-DE"/>
        </w:rPr>
        <w:t>‘, der ‚</w:t>
      </w:r>
      <w:r w:rsidRPr="008F1601">
        <w:rPr>
          <w:i/>
          <w:lang w:val="de-DE"/>
        </w:rPr>
        <w:t>Asket des Lebens</w:t>
      </w:r>
      <w:r>
        <w:rPr>
          <w:lang w:val="de-DE"/>
        </w:rPr>
        <w:t>‘, der ewige Protestant gegen alle bloße Wirklichkeit.“</w:t>
      </w:r>
      <w:r>
        <w:rPr>
          <w:rStyle w:val="FootnoteReference"/>
          <w:lang w:val="de-DE"/>
        </w:rPr>
        <w:footnoteReference w:id="24"/>
      </w:r>
    </w:p>
    <w:p w:rsidR="00E1085E" w:rsidRDefault="00E1085E" w:rsidP="003D1BFA">
      <w:pPr>
        <w:spacing w:line="360" w:lineRule="auto"/>
        <w:rPr>
          <w:lang w:val="de-DE"/>
        </w:rPr>
      </w:pPr>
    </w:p>
    <w:p w:rsidR="00723E5A" w:rsidRDefault="00723E5A" w:rsidP="003D1BFA">
      <w:pPr>
        <w:spacing w:line="360" w:lineRule="auto"/>
        <w:rPr>
          <w:lang w:val="de-DE"/>
        </w:rPr>
      </w:pPr>
      <w:r>
        <w:rPr>
          <w:lang w:val="de-DE"/>
        </w:rPr>
        <w:t xml:space="preserve">Für Tolstoi sind die Ausführungen Zolas nichts als dieses tierische Ja zum Wirklichen. </w:t>
      </w:r>
    </w:p>
    <w:p w:rsidR="00723E5A" w:rsidRDefault="00723E5A" w:rsidP="003D1BFA">
      <w:pPr>
        <w:spacing w:line="360" w:lineRule="auto"/>
        <w:rPr>
          <w:lang w:val="de-DE"/>
        </w:rPr>
      </w:pPr>
    </w:p>
    <w:p w:rsidR="00E1085E" w:rsidRDefault="00E1085E" w:rsidP="003D1BFA">
      <w:pPr>
        <w:spacing w:line="360" w:lineRule="auto"/>
        <w:rPr>
          <w:lang w:val="de-DE"/>
        </w:rPr>
      </w:pPr>
      <w:r>
        <w:rPr>
          <w:lang w:val="de-DE"/>
        </w:rPr>
        <w:t xml:space="preserve">Und Scheler weist auch darauf hin, dass dies der Idealismus Platons ist: „Mensch sein heißt: dieser Art Wirklichkeit ein kräftiges ‚Nein‘ entgegenzuschleudern. [...] Das hat Platon </w:t>
      </w:r>
      <w:proofErr w:type="spellStart"/>
      <w:r>
        <w:rPr>
          <w:lang w:val="de-DE"/>
        </w:rPr>
        <w:t>gewußt</w:t>
      </w:r>
      <w:proofErr w:type="spellEnd"/>
      <w:r>
        <w:rPr>
          <w:lang w:val="de-DE"/>
        </w:rPr>
        <w:t>, wenn er die Ideenschau an eine Abwendung der Seele von dem sinnlichen Gehalt der Dinge knüpft und an eine Einkehr der Seele in sich selbst, um hier die ‚Ursprünge‘ der Dinge zu finden.“</w:t>
      </w:r>
      <w:r>
        <w:rPr>
          <w:rStyle w:val="FootnoteReference"/>
          <w:lang w:val="de-DE"/>
        </w:rPr>
        <w:footnoteReference w:id="25"/>
      </w:r>
      <w:r>
        <w:rPr>
          <w:lang w:val="de-DE"/>
        </w:rPr>
        <w:t xml:space="preserve"> </w:t>
      </w:r>
    </w:p>
    <w:p w:rsidR="00E12135" w:rsidRDefault="00E12135" w:rsidP="003D1BFA">
      <w:pPr>
        <w:spacing w:line="360" w:lineRule="auto"/>
        <w:rPr>
          <w:lang w:val="de-DE"/>
        </w:rPr>
      </w:pPr>
    </w:p>
    <w:p w:rsidR="005A2D3B" w:rsidRPr="00CA58C5" w:rsidRDefault="00CA58C5" w:rsidP="003D1BFA">
      <w:pPr>
        <w:spacing w:line="360" w:lineRule="auto"/>
        <w:rPr>
          <w:lang w:val="de-DE"/>
        </w:rPr>
      </w:pPr>
      <w:r>
        <w:rPr>
          <w:lang w:val="de-DE"/>
        </w:rPr>
        <w:t xml:space="preserve">Wie Scheler sieht auch Tolstoi in Platon diese Abwendung von der sinnlichen Realität zu den überzeitlichen Ideen gepaart mit dem richtigen Leben, d.h. der Askese. </w:t>
      </w:r>
      <w:r w:rsidR="00E12135">
        <w:rPr>
          <w:lang w:val="de-DE"/>
        </w:rPr>
        <w:t xml:space="preserve">Wie Tolstoi selbst in einem Vorwort zu einer Schrift über den Vegetarismus ausführt, findet sich dieser Gedanke bereits im Begriff </w:t>
      </w:r>
      <w:proofErr w:type="spellStart"/>
      <w:r w:rsidR="00E12135" w:rsidRPr="00E12135">
        <w:rPr>
          <w:i/>
          <w:lang w:val="de-DE"/>
        </w:rPr>
        <w:t>enkrateia</w:t>
      </w:r>
      <w:proofErr w:type="spellEnd"/>
      <w:r w:rsidR="00E12135">
        <w:rPr>
          <w:lang w:val="de-DE"/>
        </w:rPr>
        <w:t xml:space="preserve"> der antiken griechischen Philosophie. </w:t>
      </w:r>
      <w:r w:rsidR="005A2D3B">
        <w:rPr>
          <w:lang w:val="de-DE"/>
        </w:rPr>
        <w:t xml:space="preserve">Einen Gedanken, den sich die frühen Christen zu eigen gemacht hatten: „Es </w:t>
      </w:r>
      <w:proofErr w:type="spellStart"/>
      <w:r w:rsidR="005A2D3B">
        <w:rPr>
          <w:lang w:val="de-DE"/>
        </w:rPr>
        <w:t>giebt</w:t>
      </w:r>
      <w:proofErr w:type="spellEnd"/>
      <w:r w:rsidR="005A2D3B">
        <w:rPr>
          <w:lang w:val="de-DE"/>
        </w:rPr>
        <w:t xml:space="preserve"> eine Stufenleiter der Tugenden, und bei der </w:t>
      </w:r>
      <w:r w:rsidR="005A2D3B">
        <w:rPr>
          <w:lang w:val="de-DE"/>
        </w:rPr>
        <w:lastRenderedPageBreak/>
        <w:t xml:space="preserve">ersten Stufe </w:t>
      </w:r>
      <w:proofErr w:type="spellStart"/>
      <w:r w:rsidR="005A2D3B">
        <w:rPr>
          <w:lang w:val="de-DE"/>
        </w:rPr>
        <w:t>muß</w:t>
      </w:r>
      <w:proofErr w:type="spellEnd"/>
      <w:r w:rsidR="005A2D3B">
        <w:rPr>
          <w:lang w:val="de-DE"/>
        </w:rPr>
        <w:t xml:space="preserve"> man anfangen, um die folgenden erreichen zu können; die erste Tugend, die sich der Mensch aneignen </w:t>
      </w:r>
      <w:proofErr w:type="spellStart"/>
      <w:r w:rsidR="005A2D3B">
        <w:rPr>
          <w:lang w:val="de-DE"/>
        </w:rPr>
        <w:t>muß</w:t>
      </w:r>
      <w:proofErr w:type="spellEnd"/>
      <w:r w:rsidR="005A2D3B">
        <w:rPr>
          <w:lang w:val="de-DE"/>
        </w:rPr>
        <w:t>, wenn er zu den folgenden gelangen will, ist aber das, was die Alten [</w:t>
      </w:r>
      <w:proofErr w:type="spellStart"/>
      <w:r w:rsidR="005A2D3B">
        <w:rPr>
          <w:lang w:val="de-DE"/>
        </w:rPr>
        <w:t>enkrateia</w:t>
      </w:r>
      <w:proofErr w:type="spellEnd"/>
      <w:r w:rsidR="005A2D3B">
        <w:rPr>
          <w:lang w:val="de-DE"/>
        </w:rPr>
        <w:t>] oder […], d.h. Enthaltsamkeit, Besonnenheit, Selbstbeherrschung nannten.“</w:t>
      </w:r>
      <w:r w:rsidR="00973D4A">
        <w:rPr>
          <w:rStyle w:val="FootnoteReference"/>
          <w:lang w:val="de-DE"/>
        </w:rPr>
        <w:footnoteReference w:id="26"/>
      </w:r>
      <w:r w:rsidR="005A2D3B">
        <w:rPr>
          <w:lang w:val="de-DE"/>
        </w:rPr>
        <w:t xml:space="preserve"> </w:t>
      </w:r>
    </w:p>
    <w:p w:rsidR="00E12135" w:rsidRDefault="00E12135" w:rsidP="003D1BFA">
      <w:pPr>
        <w:spacing w:line="360" w:lineRule="auto"/>
        <w:rPr>
          <w:lang w:val="de-DE"/>
        </w:rPr>
      </w:pPr>
    </w:p>
    <w:p w:rsidR="005A2D3B" w:rsidRDefault="005A2D3B" w:rsidP="003D1BFA">
      <w:pPr>
        <w:spacing w:line="360" w:lineRule="auto"/>
        <w:rPr>
          <w:lang w:val="de-DE"/>
        </w:rPr>
      </w:pPr>
      <w:r>
        <w:rPr>
          <w:lang w:val="de-DE"/>
        </w:rPr>
        <w:t>„Platos Tugenden, beginnend mit der Enthaltsamkeit, erreichen, nach der Tapferkeit und der Weisheit, die Gerechtigkeit; die christlichen Tugenden beginnen mit der Selbstverleugnung und erreichen, nach der Ergebung in den Willen Gottes, die Liebe.“</w:t>
      </w:r>
      <w:r>
        <w:rPr>
          <w:rStyle w:val="FootnoteReference"/>
          <w:lang w:val="de-DE"/>
        </w:rPr>
        <w:footnoteReference w:id="27"/>
      </w:r>
      <w:r>
        <w:rPr>
          <w:lang w:val="de-DE"/>
        </w:rPr>
        <w:t xml:space="preserve"> </w:t>
      </w:r>
    </w:p>
    <w:p w:rsidR="005A2D3B" w:rsidRDefault="005A2D3B" w:rsidP="003D1BFA">
      <w:pPr>
        <w:spacing w:line="360" w:lineRule="auto"/>
        <w:rPr>
          <w:lang w:val="de-DE"/>
        </w:rPr>
      </w:pPr>
      <w:r>
        <w:rPr>
          <w:lang w:val="de-DE"/>
        </w:rPr>
        <w:t xml:space="preserve">„Die Menschen, welche das </w:t>
      </w:r>
      <w:proofErr w:type="spellStart"/>
      <w:r>
        <w:rPr>
          <w:lang w:val="de-DE"/>
        </w:rPr>
        <w:t>Christenthum</w:t>
      </w:r>
      <w:proofErr w:type="spellEnd"/>
      <w:r>
        <w:rPr>
          <w:lang w:val="de-DE"/>
        </w:rPr>
        <w:t xml:space="preserve"> annahmen und sich ein gutes christliches Leben anzueignen strebten, </w:t>
      </w:r>
      <w:proofErr w:type="spellStart"/>
      <w:r>
        <w:rPr>
          <w:lang w:val="de-DE"/>
        </w:rPr>
        <w:t>faßten</w:t>
      </w:r>
      <w:proofErr w:type="spellEnd"/>
      <w:r>
        <w:rPr>
          <w:lang w:val="de-DE"/>
        </w:rPr>
        <w:t xml:space="preserve"> das </w:t>
      </w:r>
      <w:proofErr w:type="spellStart"/>
      <w:r>
        <w:rPr>
          <w:lang w:val="de-DE"/>
        </w:rPr>
        <w:t>Christenthum</w:t>
      </w:r>
      <w:proofErr w:type="spellEnd"/>
      <w:r>
        <w:rPr>
          <w:lang w:val="de-DE"/>
        </w:rPr>
        <w:t xml:space="preserve"> auch so auf und begannen ihr gutes Leben stets mit der Lossagung von ihren Lüsten; diese Lossagung </w:t>
      </w:r>
      <w:proofErr w:type="spellStart"/>
      <w:r>
        <w:rPr>
          <w:lang w:val="de-DE"/>
        </w:rPr>
        <w:t>schloß</w:t>
      </w:r>
      <w:proofErr w:type="spellEnd"/>
      <w:r>
        <w:rPr>
          <w:lang w:val="de-DE"/>
        </w:rPr>
        <w:t xml:space="preserve"> die heidnische Enthaltsamkeit in sich.“</w:t>
      </w:r>
      <w:r>
        <w:rPr>
          <w:rStyle w:val="FootnoteReference"/>
          <w:lang w:val="de-DE"/>
        </w:rPr>
        <w:footnoteReference w:id="28"/>
      </w:r>
      <w:r>
        <w:rPr>
          <w:lang w:val="de-DE"/>
        </w:rPr>
        <w:t xml:space="preserve"> </w:t>
      </w:r>
    </w:p>
    <w:p w:rsidR="00E1085E" w:rsidRDefault="00E1085E" w:rsidP="003D1BFA">
      <w:pPr>
        <w:spacing w:line="360" w:lineRule="auto"/>
        <w:rPr>
          <w:lang w:val="de-DE"/>
        </w:rPr>
      </w:pPr>
    </w:p>
    <w:p w:rsidR="00E1085E" w:rsidRDefault="005A2D3B" w:rsidP="003D1BFA">
      <w:pPr>
        <w:spacing w:line="360" w:lineRule="auto"/>
        <w:rPr>
          <w:lang w:val="de-DE"/>
        </w:rPr>
      </w:pPr>
      <w:r>
        <w:rPr>
          <w:lang w:val="de-DE"/>
        </w:rPr>
        <w:t xml:space="preserve">Während Tolstoi auf der einen Seite die Enthaltsamkeit predigt, allen voran die geschlechtliche, aber auch die sinnliche überhaupt, kritisiert er in zahlreichen Artikeln und Flugschriften die </w:t>
      </w:r>
      <w:proofErr w:type="spellStart"/>
      <w:r>
        <w:rPr>
          <w:lang w:val="de-DE"/>
        </w:rPr>
        <w:t>Unenthaltsamkeit</w:t>
      </w:r>
      <w:proofErr w:type="spellEnd"/>
      <w:r>
        <w:rPr>
          <w:lang w:val="de-DE"/>
        </w:rPr>
        <w:t xml:space="preserve"> (</w:t>
      </w:r>
      <w:proofErr w:type="spellStart"/>
      <w:r>
        <w:rPr>
          <w:lang w:val="de-DE"/>
        </w:rPr>
        <w:t>gr.</w:t>
      </w:r>
      <w:proofErr w:type="spellEnd"/>
      <w:r>
        <w:rPr>
          <w:lang w:val="de-DE"/>
        </w:rPr>
        <w:t xml:space="preserve"> </w:t>
      </w:r>
      <w:proofErr w:type="spellStart"/>
      <w:r>
        <w:rPr>
          <w:lang w:val="de-DE"/>
        </w:rPr>
        <w:t>akrasia</w:t>
      </w:r>
      <w:proofErr w:type="spellEnd"/>
      <w:r>
        <w:rPr>
          <w:lang w:val="de-DE"/>
        </w:rPr>
        <w:t xml:space="preserve">), der Gegenbegriff der </w:t>
      </w:r>
      <w:proofErr w:type="spellStart"/>
      <w:r>
        <w:rPr>
          <w:lang w:val="de-DE"/>
        </w:rPr>
        <w:t>enkrateia</w:t>
      </w:r>
      <w:proofErr w:type="spellEnd"/>
      <w:r>
        <w:rPr>
          <w:lang w:val="de-DE"/>
        </w:rPr>
        <w:t xml:space="preserve">: siehe seine Schrift teuflische Genüsse. Allen voran Aristoteles hatte die </w:t>
      </w:r>
      <w:proofErr w:type="spellStart"/>
      <w:r>
        <w:rPr>
          <w:lang w:val="de-DE"/>
        </w:rPr>
        <w:t>Unenthaltsamkeit</w:t>
      </w:r>
      <w:proofErr w:type="spellEnd"/>
      <w:r>
        <w:rPr>
          <w:lang w:val="de-DE"/>
        </w:rPr>
        <w:t xml:space="preserve"> (</w:t>
      </w:r>
      <w:proofErr w:type="spellStart"/>
      <w:r>
        <w:rPr>
          <w:lang w:val="de-DE"/>
        </w:rPr>
        <w:t>akrasia</w:t>
      </w:r>
      <w:proofErr w:type="spellEnd"/>
      <w:r>
        <w:rPr>
          <w:lang w:val="de-DE"/>
        </w:rPr>
        <w:t>) in seiner Nikomachischen Ethik diskutiert</w:t>
      </w:r>
      <w:r>
        <w:rPr>
          <w:rStyle w:val="FootnoteReference"/>
          <w:lang w:val="de-DE"/>
        </w:rPr>
        <w:footnoteReference w:id="29"/>
      </w:r>
      <w:r>
        <w:rPr>
          <w:lang w:val="de-DE"/>
        </w:rPr>
        <w:t xml:space="preserve">. </w:t>
      </w:r>
      <w:r w:rsidR="001E0D6F">
        <w:rPr>
          <w:lang w:val="de-DE"/>
        </w:rPr>
        <w:t xml:space="preserve">Das Besondere für Aristoteles an der </w:t>
      </w:r>
      <w:proofErr w:type="spellStart"/>
      <w:r w:rsidR="001E0D6F">
        <w:rPr>
          <w:lang w:val="de-DE"/>
        </w:rPr>
        <w:t>akrasia</w:t>
      </w:r>
      <w:proofErr w:type="spellEnd"/>
      <w:r w:rsidR="001E0D6F">
        <w:rPr>
          <w:lang w:val="de-DE"/>
        </w:rPr>
        <w:t xml:space="preserve"> ist die Tatsache, dass es sich bei den sinnlichen Genüssen (anders als für </w:t>
      </w:r>
      <w:proofErr w:type="spellStart"/>
      <w:r w:rsidR="001E0D6F">
        <w:rPr>
          <w:lang w:val="de-DE"/>
        </w:rPr>
        <w:t>Tostoi</w:t>
      </w:r>
      <w:proofErr w:type="spellEnd"/>
      <w:r w:rsidR="001E0D6F">
        <w:rPr>
          <w:lang w:val="de-DE"/>
        </w:rPr>
        <w:t xml:space="preserve">) nicht um eine moralische Kategorie handelt, erst das ausschweifende Leben, wenn diese zur Priorität werden, wird dies zur moralischen Kategorie. Für Aristoteles gilt es das Maß zu halten, ohne dabei die sinnliche Verfasstheit und die menschlichen Begierden zu negieren (womit eben der Unterschied zwischen den frühen Christen und Tolstoi angegeben wäre). Tolstoi übernimmt jedoch die Argumentation Aristoteles aus der Nikomachischen Ethik in seinem Angriff auf Zolas Verherrlichung der Arbeit im </w:t>
      </w:r>
      <w:proofErr w:type="spellStart"/>
      <w:r w:rsidR="001E0D6F" w:rsidRPr="001E0D6F">
        <w:rPr>
          <w:i/>
          <w:lang w:val="de-DE"/>
        </w:rPr>
        <w:t>Nichttun</w:t>
      </w:r>
      <w:proofErr w:type="spellEnd"/>
      <w:r w:rsidR="001E0D6F">
        <w:rPr>
          <w:lang w:val="de-DE"/>
        </w:rPr>
        <w:t xml:space="preserve">. Die Arbeit ist an und für sich nicht unmoralisch, da sie eine Notwendigkeit darstellt. Wer essen will, muss dafür arbeiten. Wer nicht arbeiten will und trotzdem essen will, der nutzt </w:t>
      </w:r>
      <w:r w:rsidR="001E0D6F">
        <w:rPr>
          <w:lang w:val="de-DE"/>
        </w:rPr>
        <w:lastRenderedPageBreak/>
        <w:t xml:space="preserve">die Arbeit anderer aus, was unmoralisch ist. Also ein zu wenig oder gar nicht der Arbeit ist verwerflich. Aber ebenso verwerflich ist das Zuviel an Arbeit, so wie es eben Zola predigt. Die Arbeit kann niemals ein Gebot sein, da sie eine Notwendigkeit darstellt, so wie die Nahrung. Sie stellt eben dann ein Problem dar, wenn sie zum alleinigen Sinnspender des Lebens wird, so wie es Zola darstellt. </w:t>
      </w:r>
    </w:p>
    <w:p w:rsidR="001E0D6F" w:rsidRDefault="001E0D6F" w:rsidP="003D1BFA">
      <w:pPr>
        <w:spacing w:line="360" w:lineRule="auto"/>
        <w:rPr>
          <w:lang w:val="de-DE"/>
        </w:rPr>
      </w:pPr>
    </w:p>
    <w:p w:rsidR="00723E5A" w:rsidRDefault="00723E5A" w:rsidP="003D1BFA">
      <w:pPr>
        <w:spacing w:line="360" w:lineRule="auto"/>
        <w:rPr>
          <w:lang w:val="de-DE"/>
        </w:rPr>
      </w:pPr>
      <w:r>
        <w:rPr>
          <w:lang w:val="de-DE"/>
        </w:rPr>
        <w:t>„nach der Lehre Christi hingegen ist die Arbeit eine notwendige Bedingung des Lebens des Menschen und die Nahrung ihre notwendige Folge.“</w:t>
      </w:r>
      <w:r>
        <w:rPr>
          <w:rStyle w:val="FootnoteReference"/>
          <w:lang w:val="de-DE"/>
        </w:rPr>
        <w:footnoteReference w:id="30"/>
      </w:r>
    </w:p>
    <w:p w:rsidR="00723E5A" w:rsidRDefault="00723E5A" w:rsidP="003D1BFA">
      <w:pPr>
        <w:spacing w:line="360" w:lineRule="auto"/>
        <w:rPr>
          <w:lang w:val="de-DE"/>
        </w:rPr>
      </w:pPr>
    </w:p>
    <w:p w:rsidR="00723E5A" w:rsidRDefault="00723E5A" w:rsidP="003D1BFA">
      <w:pPr>
        <w:spacing w:line="360" w:lineRule="auto"/>
        <w:rPr>
          <w:lang w:val="de-DE"/>
        </w:rPr>
      </w:pPr>
      <w:r>
        <w:rPr>
          <w:lang w:val="de-DE"/>
        </w:rPr>
        <w:t>„Alle jene unzähligen Geschäfte, die wir für uns selbst verrichten, brauchen wir in der Zukunft nicht; alles das ist eine Täuschung, mit der wir uns selbst betrügen. Eines aber ist not.“</w:t>
      </w:r>
      <w:r w:rsidR="00973D4A">
        <w:rPr>
          <w:rStyle w:val="FootnoteReference"/>
          <w:lang w:val="de-DE"/>
        </w:rPr>
        <w:footnoteReference w:id="31"/>
      </w:r>
      <w:r>
        <w:rPr>
          <w:lang w:val="de-DE"/>
        </w:rPr>
        <w:t xml:space="preserve"> </w:t>
      </w:r>
    </w:p>
    <w:p w:rsidR="00723E5A" w:rsidRDefault="00723E5A" w:rsidP="003D1BFA">
      <w:pPr>
        <w:spacing w:line="360" w:lineRule="auto"/>
        <w:rPr>
          <w:lang w:val="de-DE"/>
        </w:rPr>
      </w:pPr>
    </w:p>
    <w:p w:rsidR="007629E8" w:rsidRDefault="009026D2" w:rsidP="007629E8">
      <w:pPr>
        <w:spacing w:line="360" w:lineRule="auto"/>
        <w:rPr>
          <w:lang w:val="de-DE"/>
        </w:rPr>
      </w:pPr>
      <w:r>
        <w:rPr>
          <w:lang w:val="de-DE"/>
        </w:rPr>
        <w:t>Wenn Zola die Arbeit als Heilsmittel verspricht, dann argumentiert Tolstoi derart, dass diejenigen, die sich voller Geschäftigkeit Tag und Nacht um ihre berufliche Tätigkeit besorgt sind, die „Unermüdlichen, Putzmunteren“</w:t>
      </w:r>
      <w:r>
        <w:rPr>
          <w:rStyle w:val="FootnoteReference"/>
          <w:lang w:val="de-DE"/>
        </w:rPr>
        <w:footnoteReference w:id="32"/>
      </w:r>
      <w:r>
        <w:rPr>
          <w:lang w:val="de-DE"/>
        </w:rPr>
        <w:t>, die in ihrer Geschäftigkeit Wichtigkeit und Ernsthaftigkeit alles andere um sich herum und sich selbst vergessen</w:t>
      </w:r>
      <w:r w:rsidR="00653935">
        <w:rPr>
          <w:lang w:val="de-DE"/>
        </w:rPr>
        <w:t xml:space="preserve">. Das hatte er bereits in der </w:t>
      </w:r>
      <w:proofErr w:type="spellStart"/>
      <w:r w:rsidR="00653935" w:rsidRPr="00370A09">
        <w:rPr>
          <w:i/>
          <w:lang w:val="de-DE"/>
        </w:rPr>
        <w:t>Kreutzersonate</w:t>
      </w:r>
      <w:proofErr w:type="spellEnd"/>
      <w:r w:rsidR="00653935">
        <w:rPr>
          <w:lang w:val="de-DE"/>
        </w:rPr>
        <w:t xml:space="preserve"> geschrieben, dort verbunden mit seiner Kritik am Leben in der Stadt: „In der Stadt ist das Leben für unglückliche Menschen leichter. In der Stadt kann der Mensch hundert Jahre alt werden, und es fällt ihm gar nicht ein, </w:t>
      </w:r>
      <w:proofErr w:type="spellStart"/>
      <w:r w:rsidR="00653935">
        <w:rPr>
          <w:lang w:val="de-DE"/>
        </w:rPr>
        <w:t>daß</w:t>
      </w:r>
      <w:proofErr w:type="spellEnd"/>
      <w:r w:rsidR="00653935">
        <w:rPr>
          <w:lang w:val="de-DE"/>
        </w:rPr>
        <w:t xml:space="preserve"> er längst </w:t>
      </w:r>
      <w:proofErr w:type="spellStart"/>
      <w:r w:rsidR="00653935">
        <w:rPr>
          <w:lang w:val="de-DE"/>
        </w:rPr>
        <w:t>todt</w:t>
      </w:r>
      <w:proofErr w:type="spellEnd"/>
      <w:r w:rsidR="00653935">
        <w:rPr>
          <w:lang w:val="de-DE"/>
        </w:rPr>
        <w:t xml:space="preserve"> und verfault ist. Er hat gar keine Zeit über sich nachzudenken, immer gibt’s was zu </w:t>
      </w:r>
      <w:proofErr w:type="spellStart"/>
      <w:r w:rsidR="00653935">
        <w:rPr>
          <w:lang w:val="de-DE"/>
        </w:rPr>
        <w:t>thun</w:t>
      </w:r>
      <w:proofErr w:type="spellEnd"/>
      <w:r w:rsidR="00653935">
        <w:rPr>
          <w:lang w:val="de-DE"/>
        </w:rPr>
        <w:t xml:space="preserve">.“ </w:t>
      </w:r>
      <w:r w:rsidR="00653935">
        <w:rPr>
          <w:rStyle w:val="FootnoteReference"/>
          <w:lang w:val="de-DE"/>
        </w:rPr>
        <w:footnoteReference w:id="33"/>
      </w:r>
      <w:r w:rsidR="00653935">
        <w:rPr>
          <w:lang w:val="de-DE"/>
        </w:rPr>
        <w:t xml:space="preserve"> </w:t>
      </w:r>
    </w:p>
    <w:p w:rsidR="007629E8" w:rsidRDefault="007629E8" w:rsidP="007629E8">
      <w:pPr>
        <w:spacing w:line="360" w:lineRule="auto"/>
        <w:rPr>
          <w:lang w:val="de-DE"/>
        </w:rPr>
      </w:pPr>
    </w:p>
    <w:p w:rsidR="00EB58BF" w:rsidRDefault="007629E8" w:rsidP="007629E8">
      <w:pPr>
        <w:spacing w:line="360" w:lineRule="auto"/>
        <w:rPr>
          <w:lang w:val="de-DE"/>
        </w:rPr>
      </w:pPr>
      <w:r>
        <w:rPr>
          <w:lang w:val="de-DE"/>
        </w:rPr>
        <w:t xml:space="preserve">Zola hat sich weder durch die Ausführungen in der </w:t>
      </w:r>
      <w:proofErr w:type="spellStart"/>
      <w:r>
        <w:rPr>
          <w:lang w:val="de-DE"/>
        </w:rPr>
        <w:t>Kreutzersonate</w:t>
      </w:r>
      <w:proofErr w:type="spellEnd"/>
      <w:r>
        <w:rPr>
          <w:lang w:val="de-DE"/>
        </w:rPr>
        <w:t xml:space="preserve"> noch durch Das </w:t>
      </w:r>
      <w:proofErr w:type="spellStart"/>
      <w:r>
        <w:rPr>
          <w:lang w:val="de-DE"/>
        </w:rPr>
        <w:t>Nichttun</w:t>
      </w:r>
      <w:proofErr w:type="spellEnd"/>
      <w:r>
        <w:rPr>
          <w:lang w:val="de-DE"/>
        </w:rPr>
        <w:t xml:space="preserve"> beeindrucken lassen. den Roman </w:t>
      </w:r>
      <w:r w:rsidRPr="007629E8">
        <w:rPr>
          <w:i/>
          <w:lang w:val="de-DE"/>
        </w:rPr>
        <w:t>Arbeit</w:t>
      </w:r>
      <w:r>
        <w:rPr>
          <w:lang w:val="de-DE"/>
        </w:rPr>
        <w:t xml:space="preserve"> des Zyklus </w:t>
      </w:r>
      <w:r w:rsidRPr="007629E8">
        <w:rPr>
          <w:i/>
          <w:lang w:val="de-DE"/>
        </w:rPr>
        <w:t>Die vier Evangelien</w:t>
      </w:r>
      <w:r>
        <w:rPr>
          <w:lang w:val="de-DE"/>
        </w:rPr>
        <w:t xml:space="preserve">. Der Evangelist Matthäus stimmt dort das Hohelied der industriellen Arbeit an. </w:t>
      </w:r>
    </w:p>
    <w:p w:rsidR="002C2BF9" w:rsidRDefault="002C2BF9" w:rsidP="003D1BFA">
      <w:pPr>
        <w:spacing w:line="360" w:lineRule="auto"/>
        <w:rPr>
          <w:lang w:val="de-DE"/>
        </w:rPr>
      </w:pPr>
    </w:p>
    <w:p w:rsidR="007629E8" w:rsidRDefault="007629E8" w:rsidP="003D1BFA">
      <w:pPr>
        <w:spacing w:line="360" w:lineRule="auto"/>
        <w:rPr>
          <w:lang w:val="de-DE"/>
        </w:rPr>
      </w:pPr>
    </w:p>
    <w:p w:rsidR="00FC2E0F" w:rsidRDefault="00FC2E0F" w:rsidP="003D1BFA">
      <w:pPr>
        <w:pStyle w:val="Heading1"/>
        <w:spacing w:before="0" w:line="360" w:lineRule="auto"/>
        <w:rPr>
          <w:lang w:val="de-DE"/>
        </w:rPr>
      </w:pPr>
      <w:bookmarkStart w:id="2" w:name="_Toc31826794"/>
      <w:bookmarkStart w:id="3" w:name="_Toc33855031"/>
      <w:proofErr w:type="spellStart"/>
      <w:r>
        <w:rPr>
          <w:lang w:val="de-DE"/>
        </w:rPr>
        <w:lastRenderedPageBreak/>
        <w:t>Nichttun</w:t>
      </w:r>
      <w:proofErr w:type="spellEnd"/>
      <w:r>
        <w:rPr>
          <w:lang w:val="de-DE"/>
        </w:rPr>
        <w:t xml:space="preserve"> als Unterlassen: </w:t>
      </w:r>
      <w:r w:rsidR="002460E1">
        <w:rPr>
          <w:lang w:val="de-DE"/>
        </w:rPr>
        <w:t xml:space="preserve">passiver Widerstand und </w:t>
      </w:r>
      <w:r>
        <w:rPr>
          <w:lang w:val="de-DE"/>
        </w:rPr>
        <w:t>ziviler Ungehorsam</w:t>
      </w:r>
      <w:bookmarkEnd w:id="2"/>
      <w:bookmarkEnd w:id="3"/>
    </w:p>
    <w:p w:rsidR="002C2BF9" w:rsidRDefault="002C2BF9" w:rsidP="003D1BFA">
      <w:pPr>
        <w:spacing w:line="360" w:lineRule="auto"/>
        <w:rPr>
          <w:lang w:val="de-DE"/>
        </w:rPr>
      </w:pPr>
    </w:p>
    <w:p w:rsidR="002C2BF9" w:rsidRDefault="003D1BFA" w:rsidP="003D1BFA">
      <w:pPr>
        <w:spacing w:line="360" w:lineRule="auto"/>
        <w:rPr>
          <w:lang w:val="de-DE"/>
        </w:rPr>
      </w:pPr>
      <w:r>
        <w:rPr>
          <w:lang w:val="de-DE"/>
        </w:rPr>
        <w:t xml:space="preserve">Neben der Auseinandersetzung um die Stellung </w:t>
      </w:r>
      <w:r w:rsidR="00370A09">
        <w:rPr>
          <w:lang w:val="de-DE"/>
        </w:rPr>
        <w:t xml:space="preserve">der Sexualität, entzündet an Tolstois </w:t>
      </w:r>
      <w:proofErr w:type="spellStart"/>
      <w:r w:rsidR="00370A09" w:rsidRPr="00370A09">
        <w:rPr>
          <w:i/>
          <w:lang w:val="de-DE"/>
        </w:rPr>
        <w:t>Kreutzersonate</w:t>
      </w:r>
      <w:proofErr w:type="spellEnd"/>
      <w:r w:rsidR="00370A09">
        <w:rPr>
          <w:lang w:val="de-DE"/>
        </w:rPr>
        <w:t xml:space="preserve">, kam es ein Jahr später, 1891, zu einem weiteren Thema, bei dem Zola und Tolstoi gegensätzliche Positionen vertraten. Auslöser war </w:t>
      </w:r>
      <w:r w:rsidR="002460E1">
        <w:rPr>
          <w:lang w:val="de-DE"/>
        </w:rPr>
        <w:t xml:space="preserve">die </w:t>
      </w:r>
      <w:r w:rsidR="002C2BF9">
        <w:rPr>
          <w:lang w:val="de-DE"/>
        </w:rPr>
        <w:t xml:space="preserve">Veröffentlichung </w:t>
      </w:r>
      <w:r w:rsidR="002460E1">
        <w:rPr>
          <w:lang w:val="de-DE"/>
        </w:rPr>
        <w:t>von Zolas</w:t>
      </w:r>
      <w:r w:rsidR="002C2BF9">
        <w:rPr>
          <w:lang w:val="de-DE"/>
        </w:rPr>
        <w:t xml:space="preserve"> Kriegsromans </w:t>
      </w:r>
      <w:r w:rsidR="002C2BF9" w:rsidRPr="00E20186">
        <w:rPr>
          <w:i/>
          <w:lang w:val="de-DE"/>
        </w:rPr>
        <w:t xml:space="preserve">Le </w:t>
      </w:r>
      <w:proofErr w:type="spellStart"/>
      <w:r w:rsidR="002C2BF9" w:rsidRPr="00E20186">
        <w:rPr>
          <w:i/>
          <w:lang w:val="de-DE"/>
        </w:rPr>
        <w:t>d</w:t>
      </w:r>
      <w:r w:rsidR="002C2BF9" w:rsidRPr="00E20186">
        <w:rPr>
          <w:rFonts w:ascii="Calibri" w:hAnsi="Calibri" w:cs="Calibri"/>
          <w:i/>
          <w:lang w:val="de-DE"/>
        </w:rPr>
        <w:t>ébâ</w:t>
      </w:r>
      <w:r w:rsidR="002C2BF9" w:rsidRPr="00E20186">
        <w:rPr>
          <w:i/>
          <w:lang w:val="de-DE"/>
        </w:rPr>
        <w:t>cle</w:t>
      </w:r>
      <w:proofErr w:type="spellEnd"/>
      <w:r w:rsidR="002C2BF9">
        <w:rPr>
          <w:lang w:val="de-DE"/>
        </w:rPr>
        <w:t xml:space="preserve">, hatte Zola die These vertreten, dass der Krieg bei aller Abscheulichkeit doch eine notwendige Einrichtung des Lebens sei. Es sei also die Natur des Menschen, ja des Lebens überhaupt, und auch hier sei es töricht, sich gegen das Leben und seine Gesetze zu stellen. </w:t>
      </w:r>
    </w:p>
    <w:p w:rsidR="002C2BF9" w:rsidRDefault="002C2BF9" w:rsidP="003D1BFA">
      <w:pPr>
        <w:spacing w:line="360" w:lineRule="auto"/>
        <w:rPr>
          <w:lang w:val="de-DE"/>
        </w:rPr>
      </w:pPr>
    </w:p>
    <w:p w:rsidR="002C2BF9" w:rsidRPr="002460E1" w:rsidRDefault="002460E1" w:rsidP="002460E1">
      <w:pPr>
        <w:rPr>
          <w:lang w:val="de-DE"/>
        </w:rPr>
      </w:pPr>
      <w:r>
        <w:rPr>
          <w:lang w:val="de-DE"/>
        </w:rPr>
        <w:t>„</w:t>
      </w:r>
      <w:r w:rsidRPr="002460E1">
        <w:rPr>
          <w:lang w:val="de-DE"/>
        </w:rPr>
        <w:t>Ich halte den Krieg für eine notwendige Unvermeidbarkeit, der wir nicht entkommen können, denn er ist sozusagen in der menschlichen Natur, in der Schöpfung, angelegt. ... Wir haben über Abrüstung gesprochen und reden immer noch über Abrüstung. Das ist ein unmöglicher Fall, und selbst wenn es möglich wäre, müssten wir es verschieben. Ein Volk ist nur so stark und so groß, wie es bewaffnet ist, und ich bin überzeugt, dass eine Abrüstung zu einer Art moralischem Verfall, zu einem allgemeinen Zusammenbruch in der ganzen Welt führen würde, der den Vorwärtsmarsch der Menschheit behindern würde. Eine kriegerische Nation hat immer gedeiht, und alle anderen Künste haben sich als direkte Folge der Kunst der Kriegsführung entwickelt.</w:t>
      </w:r>
      <w:r>
        <w:rPr>
          <w:lang w:val="de-DE"/>
        </w:rPr>
        <w:t>“</w:t>
      </w:r>
      <w:r w:rsidR="002C2BF9">
        <w:rPr>
          <w:rStyle w:val="FootnoteReference"/>
          <w:rFonts w:ascii="-webkit-standard" w:hAnsi="-webkit-standard"/>
          <w:color w:val="000000"/>
        </w:rPr>
        <w:footnoteReference w:id="34"/>
      </w:r>
    </w:p>
    <w:p w:rsidR="002C2BF9" w:rsidRDefault="002C2BF9" w:rsidP="003D1BFA">
      <w:pPr>
        <w:spacing w:line="360" w:lineRule="auto"/>
        <w:rPr>
          <w:lang w:val="de-DE"/>
        </w:rPr>
      </w:pPr>
    </w:p>
    <w:p w:rsidR="002C2BF9" w:rsidRDefault="002460E1" w:rsidP="003D1BFA">
      <w:pPr>
        <w:spacing w:line="360" w:lineRule="auto"/>
        <w:rPr>
          <w:lang w:val="de-DE"/>
        </w:rPr>
      </w:pPr>
      <w:r>
        <w:rPr>
          <w:lang w:val="de-DE"/>
        </w:rPr>
        <w:t xml:space="preserve">In einem anderen Interview hatte Zola seine Überzeugung vom Krieg mit seinem Darwinismus in Verbindung gebracht: </w:t>
      </w:r>
      <w:r w:rsidR="002C2BF9">
        <w:rPr>
          <w:lang w:val="de-DE"/>
        </w:rPr>
        <w:t xml:space="preserve">„Die größere und allgemeinere Idee, die aus dem Roman hervorgeht, wird die sein, </w:t>
      </w:r>
      <w:proofErr w:type="spellStart"/>
      <w:r w:rsidR="002C2BF9" w:rsidRPr="00E20186">
        <w:rPr>
          <w:i/>
          <w:lang w:val="de-DE"/>
        </w:rPr>
        <w:t>daß</w:t>
      </w:r>
      <w:proofErr w:type="spellEnd"/>
      <w:r w:rsidR="002C2BF9" w:rsidRPr="00E20186">
        <w:rPr>
          <w:i/>
          <w:lang w:val="de-DE"/>
        </w:rPr>
        <w:t xml:space="preserve"> der Krieg eine Notwendigkeit ist</w:t>
      </w:r>
      <w:r w:rsidR="002C2BF9">
        <w:rPr>
          <w:lang w:val="de-DE"/>
        </w:rPr>
        <w:t xml:space="preserve">, eine traurige, eine entsetzliche, aber eine unvermeidbare Notwendigkeit. Diese Theorie ist ein Teil der Evolutionstheorie, deren Anhänger ich bin. </w:t>
      </w:r>
      <w:r w:rsidR="002C2BF9" w:rsidRPr="00F3766A">
        <w:rPr>
          <w:i/>
          <w:lang w:val="de-DE"/>
        </w:rPr>
        <w:t>Ich halte den Krieg für unumstößlich begründet in dem Gesetz vom Kampfe ums Dasein. Die ganze humanitäre Bewegung, die Friedenskongresse und die Entwaffnungstendenzen, das sind schöne Illusionen, an deren Verwirklichung ich nicht glaube</w:t>
      </w:r>
      <w:r w:rsidR="002C2BF9">
        <w:rPr>
          <w:lang w:val="de-DE"/>
        </w:rPr>
        <w:t>.“</w:t>
      </w:r>
      <w:r w:rsidR="002C2BF9">
        <w:rPr>
          <w:rStyle w:val="FootnoteReference"/>
          <w:lang w:val="de-DE"/>
        </w:rPr>
        <w:footnoteReference w:id="35"/>
      </w:r>
      <w:r w:rsidR="002C2BF9">
        <w:rPr>
          <w:lang w:val="de-DE"/>
        </w:rPr>
        <w:t xml:space="preserve"> </w:t>
      </w:r>
    </w:p>
    <w:p w:rsidR="002C2BF9" w:rsidRDefault="002C2BF9" w:rsidP="003D1BFA">
      <w:pPr>
        <w:spacing w:line="360" w:lineRule="auto"/>
        <w:rPr>
          <w:lang w:val="de-DE"/>
        </w:rPr>
      </w:pPr>
    </w:p>
    <w:p w:rsidR="002C2BF9" w:rsidRPr="00AF23FA" w:rsidRDefault="002460E1" w:rsidP="003D1BFA">
      <w:pPr>
        <w:spacing w:line="360" w:lineRule="auto"/>
        <w:rPr>
          <w:lang w:val="de-DE"/>
        </w:rPr>
      </w:pPr>
      <w:r>
        <w:rPr>
          <w:lang w:val="de-DE"/>
        </w:rPr>
        <w:lastRenderedPageBreak/>
        <w:t xml:space="preserve">„Der </w:t>
      </w:r>
      <w:r w:rsidRPr="002460E1">
        <w:rPr>
          <w:lang w:val="de-DE"/>
        </w:rPr>
        <w:t>Krieg, aber es ist das Leben selbst! Nichts existiert in der Natur, nichts wird geboren, wächst und vermehrt sich, außer durch Kampf. Man muss essen und gegessen werden, damit die Welt leben kann. Und nur kriegführende Nationen sind erfolgreich gewesen; eine Nation stirbt, sobald sie sich entwaffnet. Der Krieg ist die Schule der Disziplin, der Aufopferung, des Mutes, der trainierten Muskeln, der gestärkten Seelen, der Brüderlichkeit im Angesicht der Gefahr, der Gesundheit und der Stärke</w:t>
      </w:r>
      <w:r>
        <w:rPr>
          <w:lang w:val="de-DE"/>
        </w:rPr>
        <w:t>.“</w:t>
      </w:r>
      <w:r w:rsidR="002C2BF9">
        <w:rPr>
          <w:rStyle w:val="FootnoteReference"/>
          <w:rFonts w:ascii="Calibri" w:hAnsi="Calibri" w:cs="Calibri"/>
          <w:lang w:val="de-DE"/>
        </w:rPr>
        <w:footnoteReference w:id="36"/>
      </w:r>
      <w:r w:rsidR="00AF23FA">
        <w:rPr>
          <w:lang w:val="de-DE"/>
        </w:rPr>
        <w:t xml:space="preserve"> </w:t>
      </w:r>
      <w:r w:rsidR="002C2BF9">
        <w:rPr>
          <w:rStyle w:val="FootnoteReference"/>
          <w:rFonts w:ascii="Calibri" w:hAnsi="Calibri" w:cs="Calibri"/>
          <w:lang w:val="de-DE"/>
        </w:rPr>
        <w:footnoteReference w:id="37"/>
      </w:r>
      <w:r w:rsidR="002C2BF9" w:rsidRPr="00AF23FA">
        <w:rPr>
          <w:rFonts w:ascii="Calibri" w:hAnsi="Calibri" w:cs="Calibri"/>
          <w:lang w:val="de-DE"/>
        </w:rPr>
        <w:t xml:space="preserve"> </w:t>
      </w:r>
      <w:r w:rsidR="002C2BF9">
        <w:rPr>
          <w:rStyle w:val="FootnoteReference"/>
          <w:rFonts w:ascii="Calibri" w:hAnsi="Calibri" w:cs="Calibri"/>
        </w:rPr>
        <w:footnoteReference w:id="38"/>
      </w:r>
    </w:p>
    <w:p w:rsidR="00AF23FA" w:rsidRDefault="00AF23FA" w:rsidP="00370A09">
      <w:pPr>
        <w:spacing w:line="360" w:lineRule="auto"/>
        <w:rPr>
          <w:lang w:val="de-DE"/>
        </w:rPr>
      </w:pPr>
    </w:p>
    <w:p w:rsidR="00F178ED" w:rsidRDefault="00AF23FA" w:rsidP="003D1BFA">
      <w:pPr>
        <w:spacing w:line="360" w:lineRule="auto"/>
        <w:rPr>
          <w:lang w:val="de-DE"/>
        </w:rPr>
      </w:pPr>
      <w:r>
        <w:rPr>
          <w:lang w:val="de-DE"/>
        </w:rPr>
        <w:t xml:space="preserve">Tolstoi wird in seinem Werk </w:t>
      </w:r>
      <w:r w:rsidRPr="00AF23FA">
        <w:rPr>
          <w:i/>
          <w:lang w:val="de-DE"/>
        </w:rPr>
        <w:t>Das Reich Gottes</w:t>
      </w:r>
      <w:r>
        <w:rPr>
          <w:lang w:val="de-DE"/>
        </w:rPr>
        <w:t xml:space="preserve">, an welchem er zur selben Zeit arbeitete wie </w:t>
      </w:r>
      <w:r w:rsidRPr="00AF23FA">
        <w:rPr>
          <w:i/>
          <w:lang w:val="de-DE"/>
        </w:rPr>
        <w:t xml:space="preserve">Das </w:t>
      </w:r>
      <w:proofErr w:type="spellStart"/>
      <w:r w:rsidRPr="00AF23FA">
        <w:rPr>
          <w:i/>
          <w:lang w:val="de-DE"/>
        </w:rPr>
        <w:t>Nichttun</w:t>
      </w:r>
      <w:proofErr w:type="spellEnd"/>
      <w:r>
        <w:rPr>
          <w:lang w:val="de-DE"/>
        </w:rPr>
        <w:t xml:space="preserve"> und für welche das </w:t>
      </w:r>
      <w:proofErr w:type="spellStart"/>
      <w:r w:rsidRPr="00AF23FA">
        <w:rPr>
          <w:i/>
          <w:lang w:val="de-DE"/>
        </w:rPr>
        <w:t>Nichttun</w:t>
      </w:r>
      <w:proofErr w:type="spellEnd"/>
      <w:r>
        <w:rPr>
          <w:lang w:val="de-DE"/>
        </w:rPr>
        <w:t xml:space="preserve"> eine Hinführung darstellte, seine pazifistische Lehre vom passiven Widerstand ausarbeiten und Zolas Ausführung aus dem Matin zitieren. Wie im Fall der sinnlichen Genüsse und der Arbeit, ist auch in diesem Fall das </w:t>
      </w:r>
      <w:proofErr w:type="spellStart"/>
      <w:r>
        <w:rPr>
          <w:lang w:val="de-DE"/>
        </w:rPr>
        <w:t>Nichttun</w:t>
      </w:r>
      <w:proofErr w:type="spellEnd"/>
      <w:r>
        <w:rPr>
          <w:lang w:val="de-DE"/>
        </w:rPr>
        <w:t xml:space="preserve"> die adäquate Antwort. Die Überzeugung Zolas, „</w:t>
      </w:r>
      <w:proofErr w:type="spellStart"/>
      <w:r w:rsidRPr="00E20186">
        <w:rPr>
          <w:i/>
          <w:lang w:val="de-DE"/>
        </w:rPr>
        <w:t>daß</w:t>
      </w:r>
      <w:proofErr w:type="spellEnd"/>
      <w:r w:rsidRPr="00E20186">
        <w:rPr>
          <w:i/>
          <w:lang w:val="de-DE"/>
        </w:rPr>
        <w:t xml:space="preserve"> der Krieg eine Notwendigkeit ist</w:t>
      </w:r>
      <w:r>
        <w:rPr>
          <w:lang w:val="de-DE"/>
        </w:rPr>
        <w:t xml:space="preserve">, eine traurige, eine entsetzliche, aber eine unvermeidbare Notwendigkeit“ sei, kann es nach Tolstoi nicht geben. Es gibt Notwendigkeiten der Natur, welche der Mensch nicht beeinflussen kann. So muss er um zu überleben ein gewisses Maß an Arbeit aufwenden, um am Leben zu bleiben. Was er aber nicht muss, ist sich gegenseitig zu töten. Eine entsetzliche </w:t>
      </w:r>
      <w:r w:rsidRPr="00AF23FA">
        <w:rPr>
          <w:i/>
          <w:lang w:val="de-DE"/>
        </w:rPr>
        <w:t>menschliche</w:t>
      </w:r>
      <w:r>
        <w:rPr>
          <w:lang w:val="de-DE"/>
        </w:rPr>
        <w:t xml:space="preserve"> Notwendigkeit, also etwas, was auf den menschlichen Willen zurückgeht, kann es nicht geben. Es gibt keine Notwendigkeit, etwas zu tun, was entsetzlich ist. Hier gilt das Nein Tolstois dem, was nicht getan werden darf. </w:t>
      </w:r>
      <w:r w:rsidR="006A5619">
        <w:rPr>
          <w:lang w:val="de-DE"/>
        </w:rPr>
        <w:t xml:space="preserve">Es geht also nicht nur um die Unterlassung, es geht auch um </w:t>
      </w:r>
      <w:r w:rsidR="00F178ED">
        <w:rPr>
          <w:lang w:val="de-DE"/>
        </w:rPr>
        <w:t>zivilen Ungehorsam</w:t>
      </w:r>
      <w:r w:rsidR="006A5619">
        <w:rPr>
          <w:lang w:val="de-DE"/>
        </w:rPr>
        <w:t xml:space="preserve">. </w:t>
      </w:r>
      <w:r w:rsidR="00F178ED">
        <w:rPr>
          <w:lang w:val="de-DE"/>
        </w:rPr>
        <w:t xml:space="preserve">Tolstoi hatte immer wieder darauf hingewiesen, so auch im Untertitel seines Werkes Das Reich Gottes, dass seine Lehre nichts mit dem Mystizismus zu tun hat. Wenn Tolstoi von Liebe spricht, dann geht diese nicht in der mystischen Schau göttlicher Liebe auf, sondern diese Liebe, die sich in Introspektion findet, will sich realisieren. Es ist bei aller introspektiver Seite eine soziale Lehre, die er hier vorträgt. Es geht ihm darum, durch den Einzelnen das Gesamt der Gesellschaft zum Reich Gottes zu führen. Und das geht nicht, ohne soziale und politische Veränderungen </w:t>
      </w:r>
      <w:r w:rsidR="00F178ED">
        <w:rPr>
          <w:lang w:val="de-DE"/>
        </w:rPr>
        <w:lastRenderedPageBreak/>
        <w:t xml:space="preserve">herbeizuführen. Wenn Tolstoi Gewaltlosigkeit predigt, dann eben nicht die Akzeptanz und das </w:t>
      </w:r>
      <w:proofErr w:type="spellStart"/>
      <w:r w:rsidR="00F178ED">
        <w:rPr>
          <w:lang w:val="de-DE"/>
        </w:rPr>
        <w:t>Ertragenkönnen</w:t>
      </w:r>
      <w:proofErr w:type="spellEnd"/>
      <w:r w:rsidR="00F178ED">
        <w:rPr>
          <w:lang w:val="de-DE"/>
        </w:rPr>
        <w:t xml:space="preserve"> von Gewalt, sondern allein aus der Tatsache, dass durch Gewalt kein Frieden erreicht werden kann, denn Frieden kann allein dadurch erreicht werden, dass kein Mensch mehr Gewalt anwenden will. Es geht um die wahre und wirkliche Verdammung der Gewalt. </w:t>
      </w:r>
    </w:p>
    <w:p w:rsidR="00F178ED" w:rsidRDefault="00F178ED" w:rsidP="003D1BFA">
      <w:pPr>
        <w:spacing w:line="360" w:lineRule="auto"/>
        <w:rPr>
          <w:lang w:val="de-DE"/>
        </w:rPr>
      </w:pPr>
    </w:p>
    <w:p w:rsidR="006A5619" w:rsidRDefault="006A5619" w:rsidP="003D1BFA">
      <w:pPr>
        <w:spacing w:line="360" w:lineRule="auto"/>
        <w:rPr>
          <w:lang w:val="de-DE"/>
        </w:rPr>
      </w:pPr>
      <w:r>
        <w:rPr>
          <w:lang w:val="de-DE"/>
        </w:rPr>
        <w:t>Und in der Tat haben sich politische Aktivisten auf Tolstoi berufen, allen voran Gandhi</w:t>
      </w:r>
      <w:r w:rsidR="00E25F1A">
        <w:rPr>
          <w:rStyle w:val="FootnoteReference"/>
          <w:lang w:val="de-DE"/>
        </w:rPr>
        <w:footnoteReference w:id="39"/>
      </w:r>
      <w:r>
        <w:rPr>
          <w:lang w:val="de-DE"/>
        </w:rPr>
        <w:t xml:space="preserve"> und seinem zivilen Ungehorsam. Nein sagen hat eben auch die politische Komponente des Ungehorsams </w:t>
      </w:r>
      <w:proofErr w:type="spellStart"/>
      <w:r>
        <w:rPr>
          <w:lang w:val="de-DE"/>
        </w:rPr>
        <w:t>gegenueber</w:t>
      </w:r>
      <w:proofErr w:type="spellEnd"/>
      <w:r>
        <w:rPr>
          <w:lang w:val="de-DE"/>
        </w:rPr>
        <w:t xml:space="preserve"> </w:t>
      </w:r>
      <w:proofErr w:type="spellStart"/>
      <w:r>
        <w:rPr>
          <w:lang w:val="de-DE"/>
        </w:rPr>
        <w:t>unrechtmaessiger</w:t>
      </w:r>
      <w:proofErr w:type="spellEnd"/>
      <w:r>
        <w:rPr>
          <w:lang w:val="de-DE"/>
        </w:rPr>
        <w:t xml:space="preserve"> Macht und Gewalt. Ein </w:t>
      </w:r>
      <w:proofErr w:type="spellStart"/>
      <w:r>
        <w:rPr>
          <w:lang w:val="de-DE"/>
        </w:rPr>
        <w:t>grosser</w:t>
      </w:r>
      <w:proofErr w:type="spellEnd"/>
      <w:r>
        <w:rPr>
          <w:lang w:val="de-DE"/>
        </w:rPr>
        <w:t xml:space="preserve"> Fan von Tolstoi, Oskar Maria Graf, der stets ein </w:t>
      </w:r>
      <w:proofErr w:type="spellStart"/>
      <w:r>
        <w:rPr>
          <w:lang w:val="de-DE"/>
        </w:rPr>
        <w:t>Portraeit</w:t>
      </w:r>
      <w:proofErr w:type="spellEnd"/>
      <w:r>
        <w:rPr>
          <w:lang w:val="de-DE"/>
        </w:rPr>
        <w:t xml:space="preserve"> Tolstois an seiner Wand </w:t>
      </w:r>
      <w:proofErr w:type="spellStart"/>
      <w:r>
        <w:rPr>
          <w:lang w:val="de-DE"/>
        </w:rPr>
        <w:t>haengen</w:t>
      </w:r>
      <w:proofErr w:type="spellEnd"/>
      <w:r>
        <w:rPr>
          <w:lang w:val="de-DE"/>
        </w:rPr>
        <w:t xml:space="preserve"> hatte, weist auf diesen Zusammenhang hin, was auch </w:t>
      </w:r>
      <w:proofErr w:type="spellStart"/>
      <w:r>
        <w:rPr>
          <w:lang w:val="de-DE"/>
        </w:rPr>
        <w:t>fuer</w:t>
      </w:r>
      <w:proofErr w:type="spellEnd"/>
      <w:r>
        <w:rPr>
          <w:lang w:val="de-DE"/>
        </w:rPr>
        <w:t xml:space="preserve"> ihn ganz </w:t>
      </w:r>
      <w:proofErr w:type="spellStart"/>
      <w:r>
        <w:rPr>
          <w:lang w:val="de-DE"/>
        </w:rPr>
        <w:t>persoenlich</w:t>
      </w:r>
      <w:proofErr w:type="spellEnd"/>
      <w:r>
        <w:rPr>
          <w:lang w:val="de-DE"/>
        </w:rPr>
        <w:t xml:space="preserve"> </w:t>
      </w:r>
      <w:r w:rsidR="00E25F1A">
        <w:rPr>
          <w:lang w:val="de-DE"/>
        </w:rPr>
        <w:t xml:space="preserve">in der Revolution von 1918/19 eine wichtige Rolle spielte. </w:t>
      </w:r>
    </w:p>
    <w:p w:rsidR="00E25F1A" w:rsidRDefault="00E25F1A" w:rsidP="003D1BFA">
      <w:pPr>
        <w:spacing w:line="360" w:lineRule="auto"/>
        <w:rPr>
          <w:lang w:val="de-DE"/>
        </w:rPr>
      </w:pPr>
    </w:p>
    <w:p w:rsidR="00AF23FA" w:rsidRDefault="00AF23FA" w:rsidP="00AF23FA">
      <w:pPr>
        <w:spacing w:line="360" w:lineRule="auto"/>
        <w:rPr>
          <w:lang w:val="de-DE"/>
        </w:rPr>
      </w:pPr>
      <w:r>
        <w:rPr>
          <w:lang w:val="de-DE"/>
        </w:rPr>
        <w:t xml:space="preserve">„denn in all meinem Oberflächenleben beschäftigte ich mich seit langem sehr intensiv mit den Werken und Lehren meines gewaltigen Lehrmeisters </w:t>
      </w:r>
      <w:proofErr w:type="spellStart"/>
      <w:r>
        <w:rPr>
          <w:lang w:val="de-DE"/>
        </w:rPr>
        <w:t>Tolstoj</w:t>
      </w:r>
      <w:proofErr w:type="spellEnd"/>
      <w:r>
        <w:rPr>
          <w:lang w:val="de-DE"/>
        </w:rPr>
        <w:t>, und das war nicht spurlos in mir geblieben.“</w:t>
      </w:r>
      <w:r>
        <w:rPr>
          <w:rStyle w:val="FootnoteReference"/>
          <w:lang w:val="de-DE"/>
        </w:rPr>
        <w:footnoteReference w:id="40"/>
      </w:r>
    </w:p>
    <w:p w:rsidR="00AF23FA" w:rsidRDefault="00AF23FA" w:rsidP="00AF23FA">
      <w:pPr>
        <w:spacing w:line="360" w:lineRule="auto"/>
        <w:rPr>
          <w:lang w:val="de-DE"/>
        </w:rPr>
      </w:pPr>
    </w:p>
    <w:p w:rsidR="00AF23FA" w:rsidRDefault="00AF23FA" w:rsidP="00AF23FA">
      <w:pPr>
        <w:rPr>
          <w:lang w:val="de-DE"/>
        </w:rPr>
      </w:pPr>
      <w:r>
        <w:rPr>
          <w:lang w:val="de-DE"/>
        </w:rPr>
        <w:t xml:space="preserve">„‘[…] … Dann kommt die absolute Passivität … Die allein ist wichtig! … Nicht dagegen aufstehen, </w:t>
      </w:r>
      <w:proofErr w:type="spellStart"/>
      <w:r>
        <w:rPr>
          <w:lang w:val="de-DE"/>
        </w:rPr>
        <w:t>daß</w:t>
      </w:r>
      <w:proofErr w:type="spellEnd"/>
      <w:r>
        <w:rPr>
          <w:lang w:val="de-DE"/>
        </w:rPr>
        <w:t xml:space="preserve"> Krieg ist, einfach ihn in nichts unterstützen, das ist’s …‘</w:t>
      </w:r>
    </w:p>
    <w:p w:rsidR="00AF23FA" w:rsidRDefault="00AF23FA" w:rsidP="00AF23FA">
      <w:pPr>
        <w:rPr>
          <w:lang w:val="de-DE"/>
        </w:rPr>
      </w:pPr>
      <w:r>
        <w:rPr>
          <w:lang w:val="de-DE"/>
        </w:rPr>
        <w:t>‚</w:t>
      </w:r>
      <w:proofErr w:type="spellStart"/>
      <w:r>
        <w:rPr>
          <w:lang w:val="de-DE"/>
        </w:rPr>
        <w:t>Tolstoj</w:t>
      </w:r>
      <w:proofErr w:type="spellEnd"/>
      <w:r>
        <w:rPr>
          <w:lang w:val="de-DE"/>
        </w:rPr>
        <w:t xml:space="preserve"> gilt jetzt nicht‘, warf mein Genosse hin.</w:t>
      </w:r>
    </w:p>
    <w:p w:rsidR="00AF23FA" w:rsidRDefault="00AF23FA" w:rsidP="00AF23FA">
      <w:pPr>
        <w:rPr>
          <w:lang w:val="de-DE"/>
        </w:rPr>
      </w:pPr>
      <w:r>
        <w:rPr>
          <w:lang w:val="de-DE"/>
        </w:rPr>
        <w:t xml:space="preserve">‚Ach was, </w:t>
      </w:r>
      <w:proofErr w:type="spellStart"/>
      <w:r>
        <w:rPr>
          <w:lang w:val="de-DE"/>
        </w:rPr>
        <w:t>Tolstoj</w:t>
      </w:r>
      <w:proofErr w:type="spellEnd"/>
      <w:r>
        <w:rPr>
          <w:lang w:val="de-DE"/>
        </w:rPr>
        <w:t>! … Der gilt immer und ewig! … Aber das ist doch richtig: Wenn keiner mehr mitmacht, ist’s aus‘, bestand ich.“</w:t>
      </w:r>
      <w:r>
        <w:rPr>
          <w:rStyle w:val="FootnoteReference"/>
          <w:lang w:val="de-DE"/>
        </w:rPr>
        <w:footnoteReference w:id="41"/>
      </w:r>
      <w:r>
        <w:rPr>
          <w:lang w:val="de-DE"/>
        </w:rPr>
        <w:t xml:space="preserve"> </w:t>
      </w:r>
    </w:p>
    <w:p w:rsidR="00AF23FA" w:rsidRDefault="00AF23FA" w:rsidP="00AF23FA">
      <w:pPr>
        <w:rPr>
          <w:lang w:val="de-DE"/>
        </w:rPr>
      </w:pPr>
    </w:p>
    <w:p w:rsidR="00AF23FA" w:rsidRDefault="00AF23FA" w:rsidP="00AF23FA">
      <w:pPr>
        <w:rPr>
          <w:lang w:val="de-DE"/>
        </w:rPr>
      </w:pPr>
    </w:p>
    <w:p w:rsidR="00AF23FA" w:rsidRDefault="00AF23FA" w:rsidP="003D1BFA">
      <w:pPr>
        <w:spacing w:line="360" w:lineRule="auto"/>
        <w:rPr>
          <w:lang w:val="de-DE"/>
        </w:rPr>
      </w:pPr>
      <w:r>
        <w:rPr>
          <w:lang w:val="de-DE"/>
        </w:rPr>
        <w:t xml:space="preserve">Und in einem Artikel zum … schreibt er: </w:t>
      </w:r>
      <w:r w:rsidR="00E25F1A">
        <w:rPr>
          <w:lang w:val="de-DE"/>
        </w:rPr>
        <w:t xml:space="preserve">„Ist nicht in jedem modernen Sitzstreik noch ein Hauch davon, da ja unzweifelhaft dadurch die Macht des gewaltlosen ‚Nichttuns‘ demonstriert wird?“ </w:t>
      </w:r>
      <w:r>
        <w:rPr>
          <w:rStyle w:val="FootnoteReference"/>
          <w:lang w:val="de-DE"/>
        </w:rPr>
        <w:footnoteReference w:id="42"/>
      </w:r>
    </w:p>
    <w:p w:rsidR="002C2BF9" w:rsidRDefault="002C2BF9" w:rsidP="003D1BFA">
      <w:pPr>
        <w:spacing w:line="360" w:lineRule="auto"/>
        <w:rPr>
          <w:lang w:val="de-DE"/>
        </w:rPr>
      </w:pPr>
    </w:p>
    <w:p w:rsidR="002C2BF9" w:rsidRDefault="002C2BF9" w:rsidP="004E4FE3">
      <w:pPr>
        <w:rPr>
          <w:lang w:val="de-DE"/>
        </w:rPr>
      </w:pPr>
      <w:bookmarkStart w:id="4" w:name="_Toc31826792"/>
      <w:proofErr w:type="spellStart"/>
      <w:r>
        <w:rPr>
          <w:lang w:val="de-DE"/>
        </w:rPr>
        <w:lastRenderedPageBreak/>
        <w:t>Nichttun</w:t>
      </w:r>
      <w:proofErr w:type="spellEnd"/>
      <w:r>
        <w:rPr>
          <w:lang w:val="de-DE"/>
        </w:rPr>
        <w:t xml:space="preserve"> als Unterlassen: die Bergpredigt</w:t>
      </w:r>
      <w:bookmarkEnd w:id="4"/>
    </w:p>
    <w:p w:rsidR="002C2BF9" w:rsidRDefault="002C2BF9" w:rsidP="003D1BFA">
      <w:pPr>
        <w:spacing w:line="360" w:lineRule="auto"/>
        <w:rPr>
          <w:lang w:val="de-DE"/>
        </w:rPr>
      </w:pPr>
    </w:p>
    <w:p w:rsidR="002C2BF9" w:rsidRDefault="004E4FE3" w:rsidP="003D1BFA">
      <w:pPr>
        <w:spacing w:line="360" w:lineRule="auto"/>
        <w:rPr>
          <w:lang w:val="de-DE"/>
        </w:rPr>
      </w:pPr>
      <w:r>
        <w:rPr>
          <w:lang w:val="de-DE"/>
        </w:rPr>
        <w:t xml:space="preserve"> </w:t>
      </w:r>
      <w:r w:rsidR="002C2BF9">
        <w:rPr>
          <w:lang w:val="de-DE"/>
        </w:rPr>
        <w:t xml:space="preserve">„Die christlichen Gebote (das Gebot der Liebe ist kein Gebot im engeren Sinne des Wortes, sondern der Ausdruck des innersten Kernes der Lehre) die fünf Gebote der Bergpredigt sind alle negativ und zeigen nur, was die Menschen auf einer gewissen Höhe der Entwicklung der Menschheit vermögen, nicht mehr zu </w:t>
      </w:r>
      <w:proofErr w:type="spellStart"/>
      <w:r w:rsidR="002C2BF9">
        <w:rPr>
          <w:lang w:val="de-DE"/>
        </w:rPr>
        <w:t>thun</w:t>
      </w:r>
      <w:proofErr w:type="spellEnd"/>
      <w:r w:rsidR="002C2BF9">
        <w:rPr>
          <w:lang w:val="de-DE"/>
        </w:rPr>
        <w:t>. Diese Gebote sind gewissermaßen Merkzeichen auf dem unendlichen Wege der Vollkommenheit, auf dem die Menschheit schreitet, Merkzeichen der Stufe der Vollkommenheit, die der Menschheit in einer gewissen Periode der Entwicklung möglich ist.“</w:t>
      </w:r>
      <w:r>
        <w:rPr>
          <w:rStyle w:val="FootnoteReference"/>
          <w:lang w:val="de-DE"/>
        </w:rPr>
        <w:footnoteReference w:id="43"/>
      </w:r>
      <w:r w:rsidR="002C2BF9">
        <w:rPr>
          <w:lang w:val="de-DE"/>
        </w:rPr>
        <w:t xml:space="preserve"> </w:t>
      </w:r>
    </w:p>
    <w:p w:rsidR="002C2BF9" w:rsidRDefault="002C2BF9" w:rsidP="003D1BFA">
      <w:pPr>
        <w:spacing w:line="360" w:lineRule="auto"/>
        <w:rPr>
          <w:lang w:val="de-DE"/>
        </w:rPr>
      </w:pPr>
      <w:r>
        <w:rPr>
          <w:lang w:val="de-DE"/>
        </w:rPr>
        <w:t>„die Menschen nicht mit einem Worte zu kränken. Und das bildet das erste Gebot.“ (143)</w:t>
      </w:r>
    </w:p>
    <w:p w:rsidR="002C2BF9" w:rsidRDefault="002C2BF9" w:rsidP="003D1BFA">
      <w:pPr>
        <w:spacing w:line="360" w:lineRule="auto"/>
        <w:rPr>
          <w:lang w:val="de-DE"/>
        </w:rPr>
      </w:pPr>
      <w:r>
        <w:rPr>
          <w:lang w:val="de-DE"/>
        </w:rPr>
        <w:t>„die Enthaltsamkeit von Unzucht. Und das bildet das zweite Gebot.“ (143)</w:t>
      </w:r>
    </w:p>
    <w:p w:rsidR="002C2BF9" w:rsidRDefault="002C2BF9" w:rsidP="003D1BFA">
      <w:pPr>
        <w:spacing w:line="360" w:lineRule="auto"/>
        <w:rPr>
          <w:lang w:val="de-DE"/>
        </w:rPr>
      </w:pPr>
      <w:r>
        <w:rPr>
          <w:lang w:val="de-DE"/>
        </w:rPr>
        <w:t>„nicht schwören, den [144] Menschen vorher nichts versprechen. Und das ist das dritte Gebot.“ (143-144)</w:t>
      </w:r>
    </w:p>
    <w:p w:rsidR="002C2BF9" w:rsidRDefault="002C2BF9" w:rsidP="003D1BFA">
      <w:pPr>
        <w:spacing w:line="360" w:lineRule="auto"/>
        <w:rPr>
          <w:lang w:val="de-DE"/>
        </w:rPr>
      </w:pPr>
      <w:r>
        <w:rPr>
          <w:lang w:val="de-DE"/>
        </w:rPr>
        <w:t xml:space="preserve">„Böses nicht mit Bösem vergelten, die Kränkung ertragen, das Hemd fortgeben. Und das ist das vierte Gebot.“ (144) </w:t>
      </w:r>
    </w:p>
    <w:p w:rsidR="002C2BF9" w:rsidRDefault="002C2BF9" w:rsidP="003D1BFA">
      <w:pPr>
        <w:spacing w:line="360" w:lineRule="auto"/>
        <w:rPr>
          <w:lang w:val="de-DE"/>
        </w:rPr>
      </w:pPr>
      <w:r>
        <w:rPr>
          <w:lang w:val="de-DE"/>
        </w:rPr>
        <w:t>„</w:t>
      </w:r>
      <w:proofErr w:type="gramStart"/>
      <w:r>
        <w:rPr>
          <w:lang w:val="de-DE"/>
        </w:rPr>
        <w:t>dem Feinde</w:t>
      </w:r>
      <w:proofErr w:type="gramEnd"/>
      <w:r>
        <w:rPr>
          <w:lang w:val="de-DE"/>
        </w:rPr>
        <w:t xml:space="preserve"> nichts Böses </w:t>
      </w:r>
      <w:proofErr w:type="spellStart"/>
      <w:r>
        <w:rPr>
          <w:lang w:val="de-DE"/>
        </w:rPr>
        <w:t>thun</w:t>
      </w:r>
      <w:proofErr w:type="spellEnd"/>
      <w:r>
        <w:rPr>
          <w:lang w:val="de-DE"/>
        </w:rPr>
        <w:t xml:space="preserve">, Gutes von ihm sprechen und zwischen ihm und unseren Mitbürgern keinen Unterschied machen.“ (144) </w:t>
      </w:r>
    </w:p>
    <w:p w:rsidR="002C2BF9" w:rsidRDefault="002C2BF9" w:rsidP="003D1BFA">
      <w:pPr>
        <w:spacing w:line="360" w:lineRule="auto"/>
        <w:rPr>
          <w:lang w:val="de-DE"/>
        </w:rPr>
      </w:pPr>
    </w:p>
    <w:p w:rsidR="00FC2E0F" w:rsidRDefault="00FC2E0F" w:rsidP="003D1BFA">
      <w:pPr>
        <w:pStyle w:val="Heading1"/>
        <w:spacing w:before="0" w:line="360" w:lineRule="auto"/>
        <w:rPr>
          <w:lang w:val="de-DE"/>
        </w:rPr>
      </w:pPr>
      <w:bookmarkStart w:id="5" w:name="_Toc31826795"/>
      <w:bookmarkStart w:id="6" w:name="_Toc33855032"/>
      <w:proofErr w:type="spellStart"/>
      <w:r>
        <w:rPr>
          <w:lang w:val="de-DE"/>
        </w:rPr>
        <w:t>Nichttun</w:t>
      </w:r>
      <w:proofErr w:type="spellEnd"/>
      <w:r>
        <w:rPr>
          <w:lang w:val="de-DE"/>
        </w:rPr>
        <w:t xml:space="preserve"> als </w:t>
      </w:r>
      <w:proofErr w:type="spellStart"/>
      <w:r>
        <w:rPr>
          <w:lang w:val="de-DE"/>
        </w:rPr>
        <w:t>Gew</w:t>
      </w:r>
      <w:r w:rsidR="00661DCD">
        <w:rPr>
          <w:lang w:val="de-DE"/>
        </w:rPr>
        <w:t>ä</w:t>
      </w:r>
      <w:r>
        <w:rPr>
          <w:lang w:val="de-DE"/>
        </w:rPr>
        <w:t>hrenlassen</w:t>
      </w:r>
      <w:proofErr w:type="spellEnd"/>
      <w:r>
        <w:rPr>
          <w:lang w:val="de-DE"/>
        </w:rPr>
        <w:t xml:space="preserve">: </w:t>
      </w:r>
      <w:r w:rsidRPr="004E4FE3">
        <w:rPr>
          <w:i/>
          <w:lang w:val="de-DE"/>
        </w:rPr>
        <w:t>wu wei</w:t>
      </w:r>
      <w:bookmarkEnd w:id="5"/>
      <w:bookmarkEnd w:id="6"/>
      <w:r>
        <w:rPr>
          <w:lang w:val="de-DE"/>
        </w:rPr>
        <w:t xml:space="preserve"> </w:t>
      </w:r>
    </w:p>
    <w:p w:rsidR="00FC2E0F" w:rsidRDefault="00FC2E0F" w:rsidP="003D1BFA">
      <w:pPr>
        <w:spacing w:line="360" w:lineRule="auto"/>
        <w:rPr>
          <w:lang w:val="de-DE"/>
        </w:rPr>
      </w:pPr>
    </w:p>
    <w:p w:rsidR="00CB2F62" w:rsidRDefault="00D825FE" w:rsidP="003D1BFA">
      <w:pPr>
        <w:spacing w:line="360" w:lineRule="auto"/>
        <w:rPr>
          <w:lang w:val="de-DE"/>
        </w:rPr>
      </w:pPr>
      <w:r>
        <w:rPr>
          <w:lang w:val="de-DE"/>
        </w:rPr>
        <w:t xml:space="preserve">Am 5. Oktober 1902 sprach </w:t>
      </w:r>
      <w:r w:rsidR="002A1740" w:rsidRPr="00D825FE">
        <w:rPr>
          <w:lang w:val="de-DE"/>
        </w:rPr>
        <w:t>Anatole France</w:t>
      </w:r>
      <w:r w:rsidR="002A1740">
        <w:rPr>
          <w:rStyle w:val="FootnoteReference"/>
          <w:lang w:val="de-DE"/>
        </w:rPr>
        <w:footnoteReference w:id="44"/>
      </w:r>
      <w:r w:rsidRPr="00D825FE">
        <w:rPr>
          <w:lang w:val="de-DE"/>
        </w:rPr>
        <w:t xml:space="preserve"> am Grab von </w:t>
      </w:r>
      <w:proofErr w:type="spellStart"/>
      <w:r w:rsidRPr="00D825FE">
        <w:rPr>
          <w:lang w:val="de-DE"/>
        </w:rPr>
        <w:t>Emila</w:t>
      </w:r>
      <w:proofErr w:type="spellEnd"/>
      <w:r w:rsidRPr="00D825FE">
        <w:rPr>
          <w:lang w:val="de-DE"/>
        </w:rPr>
        <w:t xml:space="preserve"> </w:t>
      </w:r>
      <w:r>
        <w:rPr>
          <w:lang w:val="de-DE"/>
        </w:rPr>
        <w:t xml:space="preserve">Zola auf dem Friedhof Pere Lachaise in Paris die Grabrede. Darin vergleicht er Zola mit Tolstoi (wobei er davon spricht, dass Zola nicht ganz die Größe des </w:t>
      </w:r>
      <w:proofErr w:type="spellStart"/>
      <w:r>
        <w:rPr>
          <w:lang w:val="de-DE"/>
        </w:rPr>
        <w:t>Tolstoischen</w:t>
      </w:r>
      <w:proofErr w:type="spellEnd"/>
      <w:r>
        <w:rPr>
          <w:lang w:val="de-DE"/>
        </w:rPr>
        <w:t xml:space="preserve"> Werkes erreicht habe) mit einer treffenden Metapher: während Zola als Ideal die „Stadt der Arbeit“ vorschwebte, sei es für Tolstoi die „Stadt der Resignation“ gewesen. Wir sind es gewohnt, bei dem Wort „Resignation“ an Fatalismus und </w:t>
      </w:r>
      <w:r w:rsidR="00CB2F62">
        <w:rPr>
          <w:lang w:val="de-DE"/>
        </w:rPr>
        <w:t>Indifferenz</w:t>
      </w:r>
      <w:r>
        <w:rPr>
          <w:lang w:val="de-DE"/>
        </w:rPr>
        <w:t xml:space="preserve"> zu denken. Da France nicht weiter auf das Wort eingeht, geht aus </w:t>
      </w:r>
      <w:r>
        <w:rPr>
          <w:lang w:val="de-DE"/>
        </w:rPr>
        <w:lastRenderedPageBreak/>
        <w:t xml:space="preserve">seiner Rede nicht hervor, ob er damit eine positive oder negative Wertung vornehmen wollte. </w:t>
      </w:r>
      <w:r w:rsidR="00CB2F62">
        <w:rPr>
          <w:lang w:val="de-DE"/>
        </w:rPr>
        <w:t xml:space="preserve">Positiv wurde der Begriff im Mittelalter verwendet und steht dort für die religiöse </w:t>
      </w:r>
      <w:r w:rsidR="00CB2F62" w:rsidRPr="00CB2F62">
        <w:rPr>
          <w:i/>
          <w:lang w:val="de-DE"/>
        </w:rPr>
        <w:t>Hingabe</w:t>
      </w:r>
      <w:r w:rsidR="00CB2F62">
        <w:rPr>
          <w:lang w:val="de-DE"/>
        </w:rPr>
        <w:t>. Allen voran verwendet Thomas von Kempen ihn an zentraler Stelle, der Quietismus wir daran anknüpfen.</w:t>
      </w:r>
      <w:r w:rsidR="00CB2F62">
        <w:rPr>
          <w:rStyle w:val="FootnoteReference"/>
          <w:lang w:val="de-DE"/>
        </w:rPr>
        <w:footnoteReference w:id="45"/>
      </w:r>
      <w:r w:rsidR="00CB2F62">
        <w:rPr>
          <w:lang w:val="de-DE"/>
        </w:rPr>
        <w:t xml:space="preserve"> Aber mit Mystik hat das bei Tolstoi wenig zu tun. Resignation kann die Hingabe an ein göttliches Prinzip bedeuten, also die Aufgabe und Verneinen des Selbst, welche mit dem Bejahen des göttlichen Prinzips einhergeht. </w:t>
      </w:r>
    </w:p>
    <w:p w:rsidR="00CB2F62" w:rsidRDefault="00CB2F62" w:rsidP="003D1BFA">
      <w:pPr>
        <w:spacing w:line="360" w:lineRule="auto"/>
        <w:rPr>
          <w:lang w:val="de-DE"/>
        </w:rPr>
      </w:pPr>
    </w:p>
    <w:p w:rsidR="002A1740" w:rsidRDefault="00D825FE" w:rsidP="003D1BFA">
      <w:pPr>
        <w:spacing w:line="360" w:lineRule="auto"/>
        <w:rPr>
          <w:lang w:val="de-DE"/>
        </w:rPr>
      </w:pPr>
      <w:r>
        <w:rPr>
          <w:lang w:val="de-DE"/>
        </w:rPr>
        <w:t xml:space="preserve">Wenn man dabei jedoch nicht an Fatalismus denkt, kommt man mit dem Wort Resignation gut auf das, was Tolstoi mit dem </w:t>
      </w:r>
      <w:proofErr w:type="spellStart"/>
      <w:r>
        <w:rPr>
          <w:lang w:val="de-DE"/>
        </w:rPr>
        <w:t>Nichttun</w:t>
      </w:r>
      <w:proofErr w:type="spellEnd"/>
      <w:r>
        <w:rPr>
          <w:lang w:val="de-DE"/>
        </w:rPr>
        <w:t xml:space="preserve"> vorschwebte, so wie es </w:t>
      </w:r>
      <w:proofErr w:type="spellStart"/>
      <w:r>
        <w:rPr>
          <w:lang w:val="de-DE"/>
        </w:rPr>
        <w:t>Laotse</w:t>
      </w:r>
      <w:proofErr w:type="spellEnd"/>
      <w:r>
        <w:rPr>
          <w:lang w:val="de-DE"/>
        </w:rPr>
        <w:t xml:space="preserve"> in seinem </w:t>
      </w:r>
      <w:proofErr w:type="spellStart"/>
      <w:r>
        <w:rPr>
          <w:lang w:val="de-DE"/>
        </w:rPr>
        <w:t>Daodekin</w:t>
      </w:r>
      <w:proofErr w:type="spellEnd"/>
      <w:r>
        <w:rPr>
          <w:lang w:val="de-DE"/>
        </w:rPr>
        <w:t xml:space="preserve"> erörtert hatte. Tolstois </w:t>
      </w:r>
      <w:proofErr w:type="spellStart"/>
      <w:r>
        <w:rPr>
          <w:lang w:val="de-DE"/>
        </w:rPr>
        <w:t>Nichttun</w:t>
      </w:r>
      <w:proofErr w:type="spellEnd"/>
      <w:r>
        <w:rPr>
          <w:lang w:val="de-DE"/>
        </w:rPr>
        <w:t xml:space="preserve"> ist im Französischen das non-</w:t>
      </w:r>
      <w:proofErr w:type="spellStart"/>
      <w:r>
        <w:rPr>
          <w:lang w:val="de-DE"/>
        </w:rPr>
        <w:t>agir</w:t>
      </w:r>
      <w:proofErr w:type="spellEnd"/>
      <w:r>
        <w:rPr>
          <w:lang w:val="de-DE"/>
        </w:rPr>
        <w:t xml:space="preserve">, was wiederum direkt aus der französischen Übersetzung von </w:t>
      </w:r>
      <w:proofErr w:type="spellStart"/>
      <w:r>
        <w:rPr>
          <w:lang w:val="de-DE"/>
        </w:rPr>
        <w:t>Laotses</w:t>
      </w:r>
      <w:proofErr w:type="spellEnd"/>
      <w:r>
        <w:rPr>
          <w:lang w:val="de-DE"/>
        </w:rPr>
        <w:t xml:space="preserve"> bekanntem Werk entnommen ist. Der chinesische Begriff ist </w:t>
      </w:r>
      <w:r w:rsidRPr="00D825FE">
        <w:rPr>
          <w:i/>
          <w:lang w:val="de-DE"/>
        </w:rPr>
        <w:t>wu wei</w:t>
      </w:r>
      <w:r>
        <w:rPr>
          <w:lang w:val="de-DE"/>
        </w:rPr>
        <w:t xml:space="preserve">. </w:t>
      </w:r>
      <w:r w:rsidR="00463414">
        <w:rPr>
          <w:lang w:val="de-DE"/>
        </w:rPr>
        <w:t xml:space="preserve">Im Deutschen ist die Breite der Übersetzungen immens: </w:t>
      </w:r>
      <w:proofErr w:type="spellStart"/>
      <w:r w:rsidR="00463414">
        <w:rPr>
          <w:lang w:val="de-DE"/>
        </w:rPr>
        <w:t>Nichttun</w:t>
      </w:r>
      <w:proofErr w:type="spellEnd"/>
      <w:r w:rsidR="00463414">
        <w:rPr>
          <w:lang w:val="de-DE"/>
        </w:rPr>
        <w:t>, Nicht-Eingreifen</w:t>
      </w:r>
      <w:r w:rsidR="002A0FDF">
        <w:rPr>
          <w:rStyle w:val="FootnoteReference"/>
          <w:lang w:val="de-DE"/>
        </w:rPr>
        <w:footnoteReference w:id="46"/>
      </w:r>
      <w:r w:rsidR="00463414">
        <w:rPr>
          <w:lang w:val="de-DE"/>
        </w:rPr>
        <w:t xml:space="preserve">. </w:t>
      </w:r>
      <w:r w:rsidR="002A0FDF">
        <w:rPr>
          <w:lang w:val="de-DE"/>
        </w:rPr>
        <w:t>„</w:t>
      </w:r>
      <w:r w:rsidR="002A0FDF" w:rsidRPr="0035110B">
        <w:rPr>
          <w:i/>
          <w:lang w:val="de-DE"/>
        </w:rPr>
        <w:t>Wu-wei</w:t>
      </w:r>
      <w:r w:rsidR="002A0FDF">
        <w:rPr>
          <w:lang w:val="de-DE"/>
        </w:rPr>
        <w:t>, Regungslosigkeit“ (</w:t>
      </w:r>
      <w:proofErr w:type="spellStart"/>
      <w:r w:rsidR="002A0FDF">
        <w:rPr>
          <w:lang w:val="de-DE"/>
        </w:rPr>
        <w:t>Universismus</w:t>
      </w:r>
      <w:proofErr w:type="spellEnd"/>
      <w:r w:rsidR="002A0FDF">
        <w:rPr>
          <w:lang w:val="de-DE"/>
        </w:rPr>
        <w:t xml:space="preserve">, 45) </w:t>
      </w:r>
    </w:p>
    <w:p w:rsidR="00463414" w:rsidRDefault="00463414" w:rsidP="003D1BFA">
      <w:pPr>
        <w:spacing w:line="360" w:lineRule="auto"/>
        <w:rPr>
          <w:lang w:val="de-DE"/>
        </w:rPr>
      </w:pPr>
    </w:p>
    <w:p w:rsidR="00463414" w:rsidRDefault="002A0FDF" w:rsidP="003D1BFA">
      <w:pPr>
        <w:spacing w:line="360" w:lineRule="auto"/>
        <w:rPr>
          <w:lang w:val="de-DE"/>
        </w:rPr>
      </w:pPr>
      <w:r>
        <w:rPr>
          <w:lang w:val="de-DE"/>
        </w:rPr>
        <w:t xml:space="preserve">Was dem </w:t>
      </w:r>
      <w:proofErr w:type="spellStart"/>
      <w:r>
        <w:rPr>
          <w:lang w:val="de-DE"/>
        </w:rPr>
        <w:t>zugrundeliegt</w:t>
      </w:r>
      <w:proofErr w:type="spellEnd"/>
      <w:r>
        <w:rPr>
          <w:lang w:val="de-DE"/>
        </w:rPr>
        <w:t xml:space="preserve">, wurde </w:t>
      </w:r>
      <w:proofErr w:type="spellStart"/>
      <w:r>
        <w:rPr>
          <w:lang w:val="de-DE"/>
        </w:rPr>
        <w:t>Universismus</w:t>
      </w:r>
      <w:proofErr w:type="spellEnd"/>
      <w:r>
        <w:rPr>
          <w:lang w:val="de-DE"/>
        </w:rPr>
        <w:t xml:space="preserve"> genannt: der Vorstellung, dass man, um ein gutes Leben zu führen, nicht den eigenen Impulsen folgen soll, sondern sich nach dem universellen Prinzip, dem Tao, dem Weg auszurichten habe, d.h. „</w:t>
      </w:r>
      <w:r w:rsidR="00463414">
        <w:rPr>
          <w:lang w:val="de-DE"/>
        </w:rPr>
        <w:t>so vollkommen wie möglich im Einklange mit dem unendlichen All zu leben.“</w:t>
      </w:r>
      <w:r w:rsidR="00655F82" w:rsidRPr="00655F82">
        <w:rPr>
          <w:rStyle w:val="FootnoteReference"/>
          <w:b/>
          <w:lang w:val="de-DE"/>
        </w:rPr>
        <w:t xml:space="preserve"> </w:t>
      </w:r>
      <w:r w:rsidR="00655F82">
        <w:rPr>
          <w:rStyle w:val="FootnoteReference"/>
          <w:b/>
          <w:lang w:val="de-DE"/>
        </w:rPr>
        <w:footnoteReference w:id="47"/>
      </w:r>
      <w:r w:rsidR="00463414">
        <w:rPr>
          <w:lang w:val="de-DE"/>
        </w:rPr>
        <w:t xml:space="preserve"> (5)</w:t>
      </w:r>
      <w:r w:rsidR="00655F82">
        <w:rPr>
          <w:lang w:val="de-DE"/>
        </w:rPr>
        <w:t xml:space="preserve"> </w:t>
      </w:r>
      <w:r w:rsidR="00463414">
        <w:rPr>
          <w:lang w:val="de-DE"/>
        </w:rPr>
        <w:t xml:space="preserve">Das Tao </w:t>
      </w:r>
      <w:r>
        <w:rPr>
          <w:lang w:val="de-DE"/>
        </w:rPr>
        <w:t>ist</w:t>
      </w:r>
      <w:r w:rsidR="00463414">
        <w:rPr>
          <w:lang w:val="de-DE"/>
        </w:rPr>
        <w:t xml:space="preserve"> die </w:t>
      </w:r>
      <w:r>
        <w:rPr>
          <w:lang w:val="de-DE"/>
        </w:rPr>
        <w:t>„</w:t>
      </w:r>
      <w:r w:rsidR="00463414">
        <w:rPr>
          <w:lang w:val="de-DE"/>
        </w:rPr>
        <w:t xml:space="preserve">Weltordnung“ (15) </w:t>
      </w:r>
      <w:r>
        <w:rPr>
          <w:lang w:val="de-DE"/>
        </w:rPr>
        <w:t xml:space="preserve">und daher gilt es, </w:t>
      </w:r>
      <w:r w:rsidR="00463414">
        <w:rPr>
          <w:lang w:val="de-DE"/>
        </w:rPr>
        <w:t>„</w:t>
      </w:r>
      <w:proofErr w:type="spellStart"/>
      <w:r w:rsidR="00463414">
        <w:rPr>
          <w:lang w:val="de-DE"/>
        </w:rPr>
        <w:t>daß</w:t>
      </w:r>
      <w:proofErr w:type="spellEnd"/>
      <w:r w:rsidR="00463414">
        <w:rPr>
          <w:lang w:val="de-DE"/>
        </w:rPr>
        <w:t xml:space="preserve"> der Mensch sich und sein Benehmen dem </w:t>
      </w:r>
      <w:r w:rsidR="00463414" w:rsidRPr="00C144FA">
        <w:rPr>
          <w:i/>
          <w:lang w:val="de-DE"/>
        </w:rPr>
        <w:t>Tao</w:t>
      </w:r>
      <w:r w:rsidR="00463414">
        <w:rPr>
          <w:lang w:val="de-DE"/>
        </w:rPr>
        <w:t xml:space="preserve"> des Weltalls und dessen Eigenschaften anpassen soll.“ (20)</w:t>
      </w:r>
      <w:r>
        <w:rPr>
          <w:rStyle w:val="FootnoteReference"/>
          <w:lang w:val="de-DE"/>
        </w:rPr>
        <w:footnoteReference w:id="48"/>
      </w:r>
      <w:r>
        <w:rPr>
          <w:lang w:val="de-DE"/>
        </w:rPr>
        <w:t xml:space="preserve"> </w:t>
      </w:r>
      <w:r w:rsidR="00463414">
        <w:rPr>
          <w:lang w:val="de-DE"/>
        </w:rPr>
        <w:t>„</w:t>
      </w:r>
      <w:proofErr w:type="spellStart"/>
      <w:r w:rsidR="00463414">
        <w:rPr>
          <w:lang w:val="de-DE"/>
        </w:rPr>
        <w:t>daß</w:t>
      </w:r>
      <w:proofErr w:type="spellEnd"/>
      <w:r w:rsidR="00463414">
        <w:rPr>
          <w:lang w:val="de-DE"/>
        </w:rPr>
        <w:t xml:space="preserve"> Übereinstimmung mit der Weltordnung das höchste Gut ist.“ (39) </w:t>
      </w:r>
      <w:r>
        <w:rPr>
          <w:rStyle w:val="FootnoteReference"/>
          <w:lang w:val="de-DE"/>
        </w:rPr>
        <w:footnoteReference w:id="49"/>
      </w:r>
    </w:p>
    <w:p w:rsidR="00463414" w:rsidRDefault="00463414" w:rsidP="003D1BFA">
      <w:pPr>
        <w:spacing w:line="360" w:lineRule="auto"/>
        <w:rPr>
          <w:lang w:val="de-DE"/>
        </w:rPr>
      </w:pPr>
    </w:p>
    <w:p w:rsidR="00463414" w:rsidRDefault="00463414" w:rsidP="003D1BFA">
      <w:pPr>
        <w:spacing w:line="360" w:lineRule="auto"/>
        <w:rPr>
          <w:lang w:val="de-DE"/>
        </w:rPr>
      </w:pPr>
      <w:r>
        <w:rPr>
          <w:lang w:val="de-DE"/>
        </w:rPr>
        <w:lastRenderedPageBreak/>
        <w:t xml:space="preserve">„Dieses Verhalten wird beschrieben als eine Nachahmung des ‚Weges‘ oder vielleicht besser: als ein </w:t>
      </w:r>
      <w:proofErr w:type="spellStart"/>
      <w:r>
        <w:rPr>
          <w:lang w:val="de-DE"/>
        </w:rPr>
        <w:t>Wirkenlassen</w:t>
      </w:r>
      <w:proofErr w:type="spellEnd"/>
      <w:r>
        <w:rPr>
          <w:lang w:val="de-DE"/>
        </w:rPr>
        <w:t xml:space="preserve"> des ‚Weges‘ in der eigenen Persönlichkeit.“ (Bauer, 93)</w:t>
      </w:r>
    </w:p>
    <w:p w:rsidR="00D825FE" w:rsidRDefault="00D825FE" w:rsidP="003D1BFA">
      <w:pPr>
        <w:spacing w:line="360" w:lineRule="auto"/>
        <w:rPr>
          <w:lang w:val="de-DE"/>
        </w:rPr>
      </w:pPr>
    </w:p>
    <w:p w:rsidR="002A1740" w:rsidRDefault="00463414" w:rsidP="003D1BFA">
      <w:pPr>
        <w:spacing w:line="360" w:lineRule="auto"/>
        <w:rPr>
          <w:lang w:val="de-DE"/>
        </w:rPr>
      </w:pPr>
      <w:r>
        <w:rPr>
          <w:lang w:val="de-DE"/>
        </w:rPr>
        <w:t>Was auch immer der Taoismus lehrt, es ist offensichtlich, was Tolstoi im Sinne hatte, als er seine Antwort auf Zola mit dem ins Russische (</w:t>
      </w:r>
      <w:proofErr w:type="spellStart"/>
      <w:r>
        <w:rPr>
          <w:lang w:val="de-DE"/>
        </w:rPr>
        <w:t>Nedelanie</w:t>
      </w:r>
      <w:proofErr w:type="spellEnd"/>
      <w:r>
        <w:rPr>
          <w:lang w:val="de-DE"/>
        </w:rPr>
        <w:t>) oder Französische (non-</w:t>
      </w:r>
      <w:proofErr w:type="spellStart"/>
      <w:r>
        <w:rPr>
          <w:lang w:val="de-DE"/>
        </w:rPr>
        <w:t>agir</w:t>
      </w:r>
      <w:proofErr w:type="spellEnd"/>
      <w:r>
        <w:rPr>
          <w:lang w:val="de-DE"/>
        </w:rPr>
        <w:t xml:space="preserve">) übersetzte wu wei gab. Im christlichen Kontext erscheint der Begriff der Resignation zutreffend, weniger die quietistische Variante, welche auf Johannes von Kempen und der </w:t>
      </w:r>
      <w:proofErr w:type="spellStart"/>
      <w:r>
        <w:rPr>
          <w:lang w:val="de-DE"/>
        </w:rPr>
        <w:t>Imitatio</w:t>
      </w:r>
      <w:proofErr w:type="spellEnd"/>
      <w:r>
        <w:rPr>
          <w:lang w:val="de-DE"/>
        </w:rPr>
        <w:t xml:space="preserve"> Christi zurückgeht, sondern es geht einfach um das biblische „nicht mein, sondern dein Wille geschehe“. Der von Tolstoi verehrte Schweizer Philosoph Henri-Frederic </w:t>
      </w:r>
      <w:proofErr w:type="spellStart"/>
      <w:r>
        <w:rPr>
          <w:lang w:val="de-DE"/>
        </w:rPr>
        <w:t>Amiel</w:t>
      </w:r>
      <w:proofErr w:type="spellEnd"/>
      <w:r>
        <w:rPr>
          <w:lang w:val="de-DE"/>
        </w:rPr>
        <w:t xml:space="preserve"> hat hierfür besonders treffende Worte gefunden: </w:t>
      </w:r>
      <w:bookmarkStart w:id="7" w:name="_GoBack"/>
      <w:r w:rsidR="002A1740">
        <w:rPr>
          <w:lang w:val="de-DE"/>
        </w:rPr>
        <w:t>„</w:t>
      </w:r>
      <w:r w:rsidR="002A1740" w:rsidRPr="002A1740">
        <w:rPr>
          <w:lang w:val="de-DE"/>
        </w:rPr>
        <w:t>Resignation, das heißt Verzicht, E</w:t>
      </w:r>
      <w:r w:rsidR="002A1740">
        <w:rPr>
          <w:lang w:val="de-DE"/>
        </w:rPr>
        <w:t>ntsagung, Konzentration Beschränkung.“</w:t>
      </w:r>
      <w:r w:rsidR="00F50FFB">
        <w:rPr>
          <w:rStyle w:val="FootnoteReference"/>
          <w:lang w:val="de-DE"/>
        </w:rPr>
        <w:footnoteReference w:id="50"/>
      </w:r>
      <w:r w:rsidR="002A1740">
        <w:rPr>
          <w:lang w:val="de-DE"/>
        </w:rPr>
        <w:t xml:space="preserve"> </w:t>
      </w:r>
    </w:p>
    <w:p w:rsidR="00463414" w:rsidRDefault="00463414" w:rsidP="003D1BFA">
      <w:pPr>
        <w:spacing w:line="360" w:lineRule="auto"/>
        <w:rPr>
          <w:lang w:val="de-DE"/>
        </w:rPr>
      </w:pPr>
    </w:p>
    <w:p w:rsidR="002A1740" w:rsidRPr="002A1740" w:rsidRDefault="00661DCD" w:rsidP="004E4FE3">
      <w:pPr>
        <w:rPr>
          <w:lang w:val="de-DE"/>
        </w:rPr>
      </w:pPr>
      <w:r>
        <w:rPr>
          <w:lang w:val="de-DE"/>
        </w:rPr>
        <w:t xml:space="preserve">„sei Natur, sei Geist, sei Bild Gottes, sei das Schönste, das Größte, das Erhabenste, das es in allen Sphären gibt, sei eine Idee und ein unendlicher Wille, ein Abbild des großen Alls. Und sei das alles, indem du nichts bist, indem du dich auslöschst, indem du Gott in dich einströmen </w:t>
      </w:r>
      <w:proofErr w:type="spellStart"/>
      <w:r>
        <w:rPr>
          <w:lang w:val="de-DE"/>
        </w:rPr>
        <w:t>läßt</w:t>
      </w:r>
      <w:proofErr w:type="spellEnd"/>
      <w:r>
        <w:rPr>
          <w:lang w:val="de-DE"/>
        </w:rPr>
        <w:t xml:space="preserve"> wie die Luft </w:t>
      </w:r>
      <w:proofErr w:type="gramStart"/>
      <w:r>
        <w:rPr>
          <w:lang w:val="de-DE"/>
        </w:rPr>
        <w:t>in eine leeren Raum</w:t>
      </w:r>
      <w:proofErr w:type="gramEnd"/>
      <w:r>
        <w:rPr>
          <w:lang w:val="de-DE"/>
        </w:rPr>
        <w:t>, indem du dein egoistisches Ich einschränkst, bis es nichts mehr ist als das Gefäß der göttlichen Essenz.“</w:t>
      </w:r>
      <w:bookmarkEnd w:id="7"/>
      <w:r w:rsidR="00F50FFB">
        <w:rPr>
          <w:rStyle w:val="FootnoteReference"/>
          <w:lang w:val="de-DE"/>
        </w:rPr>
        <w:footnoteReference w:id="51"/>
      </w:r>
    </w:p>
    <w:p w:rsidR="002A1740" w:rsidRDefault="002A1740" w:rsidP="003D1BFA">
      <w:pPr>
        <w:spacing w:line="360" w:lineRule="auto"/>
        <w:rPr>
          <w:lang w:val="de-DE"/>
        </w:rPr>
      </w:pPr>
    </w:p>
    <w:p w:rsidR="002F65A8" w:rsidRDefault="002F65A8" w:rsidP="003D1BFA">
      <w:pPr>
        <w:spacing w:line="360" w:lineRule="auto"/>
        <w:rPr>
          <w:lang w:val="de-DE"/>
        </w:rPr>
      </w:pPr>
      <w:r>
        <w:rPr>
          <w:lang w:val="de-DE"/>
        </w:rPr>
        <w:t xml:space="preserve">Gefäß = siehe hierzu die Ausführungen </w:t>
      </w:r>
      <w:proofErr w:type="spellStart"/>
      <w:r>
        <w:rPr>
          <w:lang w:val="de-DE"/>
        </w:rPr>
        <w:t>Laotses</w:t>
      </w:r>
      <w:proofErr w:type="spellEnd"/>
      <w:r>
        <w:rPr>
          <w:lang w:val="de-DE"/>
        </w:rPr>
        <w:t xml:space="preserve">, bei dem die Leere und das Nichts eine wichtige Rolle spielt, also für das Gefäß ist die Leere von konstitutiver Bedeutung, ebenso für die Tür usw. </w:t>
      </w:r>
      <w:proofErr w:type="spellStart"/>
      <w:r>
        <w:rPr>
          <w:lang w:val="de-DE"/>
        </w:rPr>
        <w:t>Laotse</w:t>
      </w:r>
      <w:proofErr w:type="spellEnd"/>
      <w:r>
        <w:rPr>
          <w:lang w:val="de-DE"/>
        </w:rPr>
        <w:t xml:space="preserve">, </w:t>
      </w:r>
      <w:proofErr w:type="spellStart"/>
      <w:r>
        <w:rPr>
          <w:lang w:val="de-DE"/>
        </w:rPr>
        <w:t>Taoteking</w:t>
      </w:r>
      <w:proofErr w:type="spellEnd"/>
      <w:r>
        <w:rPr>
          <w:lang w:val="de-DE"/>
        </w:rPr>
        <w:t xml:space="preserve">, </w:t>
      </w:r>
    </w:p>
    <w:p w:rsidR="008A0175" w:rsidRDefault="008A0175" w:rsidP="003D1BFA">
      <w:pPr>
        <w:spacing w:line="360" w:lineRule="auto"/>
        <w:rPr>
          <w:lang w:val="de-DE"/>
        </w:rPr>
      </w:pPr>
    </w:p>
    <w:p w:rsidR="008A0175" w:rsidRDefault="008A0175" w:rsidP="003D1BFA">
      <w:pPr>
        <w:spacing w:line="360" w:lineRule="auto"/>
        <w:rPr>
          <w:lang w:val="de-DE"/>
        </w:rPr>
      </w:pPr>
    </w:p>
    <w:p w:rsidR="002F65A8" w:rsidRDefault="002F65A8" w:rsidP="003D1BFA">
      <w:pPr>
        <w:spacing w:line="360" w:lineRule="auto"/>
        <w:rPr>
          <w:lang w:val="de-DE"/>
        </w:rPr>
      </w:pPr>
      <w:r>
        <w:rPr>
          <w:lang w:val="de-DE"/>
        </w:rPr>
        <w:t xml:space="preserve">Leere und Nichts bei </w:t>
      </w:r>
      <w:proofErr w:type="spellStart"/>
      <w:r>
        <w:rPr>
          <w:lang w:val="de-DE"/>
        </w:rPr>
        <w:t>Laotse</w:t>
      </w:r>
      <w:proofErr w:type="spellEnd"/>
      <w:r>
        <w:rPr>
          <w:lang w:val="de-DE"/>
        </w:rPr>
        <w:t>, Resignation in der christlichen Tradition</w:t>
      </w:r>
    </w:p>
    <w:p w:rsidR="002F65A8" w:rsidRDefault="002F65A8" w:rsidP="003D1BFA">
      <w:pPr>
        <w:spacing w:line="360" w:lineRule="auto"/>
        <w:rPr>
          <w:lang w:val="de-DE"/>
        </w:rPr>
      </w:pPr>
    </w:p>
    <w:p w:rsidR="002F65A8" w:rsidRDefault="002F65A8" w:rsidP="003D1BFA">
      <w:pPr>
        <w:spacing w:line="360" w:lineRule="auto"/>
        <w:rPr>
          <w:lang w:val="de-DE"/>
        </w:rPr>
      </w:pPr>
      <w:r>
        <w:rPr>
          <w:lang w:val="de-DE"/>
        </w:rPr>
        <w:t>Die Wassermetapher: Taoismus, Tolstoi, die beiden Tagebucheinträge, Sara</w:t>
      </w:r>
      <w:r w:rsidR="008A0175">
        <w:rPr>
          <w:lang w:val="de-DE"/>
        </w:rPr>
        <w:t>h</w:t>
      </w:r>
      <w:r>
        <w:rPr>
          <w:lang w:val="de-DE"/>
        </w:rPr>
        <w:t xml:space="preserve"> Allen, </w:t>
      </w:r>
      <w:proofErr w:type="spellStart"/>
      <w:r>
        <w:rPr>
          <w:lang w:val="de-DE"/>
        </w:rPr>
        <w:t>water</w:t>
      </w:r>
      <w:proofErr w:type="spellEnd"/>
      <w:r>
        <w:rPr>
          <w:lang w:val="de-DE"/>
        </w:rPr>
        <w:t xml:space="preserve"> </w:t>
      </w:r>
      <w:proofErr w:type="spellStart"/>
      <w:r>
        <w:rPr>
          <w:lang w:val="de-DE"/>
        </w:rPr>
        <w:t>virtue</w:t>
      </w:r>
      <w:proofErr w:type="spellEnd"/>
      <w:r>
        <w:rPr>
          <w:lang w:val="de-DE"/>
        </w:rPr>
        <w:t xml:space="preserve"> </w:t>
      </w:r>
    </w:p>
    <w:p w:rsidR="002F65A8" w:rsidRDefault="002F65A8" w:rsidP="003D1BFA">
      <w:pPr>
        <w:spacing w:line="360" w:lineRule="auto"/>
        <w:rPr>
          <w:lang w:val="de-DE"/>
        </w:rPr>
      </w:pPr>
    </w:p>
    <w:p w:rsidR="002F65A8" w:rsidRDefault="00D3718D" w:rsidP="003D1BFA">
      <w:pPr>
        <w:spacing w:line="360" w:lineRule="auto"/>
        <w:rPr>
          <w:lang w:val="de-DE"/>
        </w:rPr>
      </w:pPr>
      <w:r>
        <w:rPr>
          <w:lang w:val="de-DE"/>
        </w:rPr>
        <w:t xml:space="preserve">All dies weist auf die zentrale Bedeutung der Überwindung des Egoismus hin (Enthaltsamkeit oder </w:t>
      </w:r>
      <w:proofErr w:type="spellStart"/>
      <w:r>
        <w:rPr>
          <w:lang w:val="de-DE"/>
        </w:rPr>
        <w:t>enkrateia</w:t>
      </w:r>
      <w:proofErr w:type="spellEnd"/>
      <w:r>
        <w:rPr>
          <w:lang w:val="de-DE"/>
        </w:rPr>
        <w:t xml:space="preserve"> in der griechischen Tradition, Resignation in der christlichen Tradition, wu wei in der chinesischen)</w:t>
      </w:r>
    </w:p>
    <w:p w:rsidR="002F65A8" w:rsidRPr="002A1740" w:rsidRDefault="002F65A8" w:rsidP="003D1BFA">
      <w:pPr>
        <w:spacing w:line="360" w:lineRule="auto"/>
        <w:rPr>
          <w:lang w:val="de-DE"/>
        </w:rPr>
      </w:pPr>
    </w:p>
    <w:p w:rsidR="00B633D5" w:rsidRPr="005E6A4E" w:rsidRDefault="00463414" w:rsidP="003D1BFA">
      <w:pPr>
        <w:spacing w:line="360" w:lineRule="auto"/>
        <w:rPr>
          <w:lang w:val="de-DE"/>
        </w:rPr>
      </w:pPr>
      <w:r>
        <w:rPr>
          <w:lang w:val="de-DE"/>
        </w:rPr>
        <w:t xml:space="preserve">Es ist also die Kehrseite dessen, was bislang als Enthaltsamkeit charakterisiert wurde: den Egoismus zu überwinden, so dass das universelle Prinzip der Liebe in einem selbst Eingang findet und das eigene Leben gestaltet. Oder, anders ausgedrückt, man nimmt sich selbst zurück, und </w:t>
      </w:r>
      <w:proofErr w:type="spellStart"/>
      <w:r>
        <w:rPr>
          <w:lang w:val="de-DE"/>
        </w:rPr>
        <w:t>läßt</w:t>
      </w:r>
      <w:proofErr w:type="spellEnd"/>
      <w:r>
        <w:rPr>
          <w:lang w:val="de-DE"/>
        </w:rPr>
        <w:t xml:space="preserve"> ein höheres Prinzip gewähren, </w:t>
      </w:r>
      <w:r w:rsidR="005E6A4E">
        <w:rPr>
          <w:lang w:val="de-DE"/>
        </w:rPr>
        <w:t xml:space="preserve">sich in einem selbst zu realisieren. </w:t>
      </w:r>
    </w:p>
    <w:p w:rsidR="00463414" w:rsidRDefault="00463414" w:rsidP="003D1BFA">
      <w:pPr>
        <w:spacing w:line="360" w:lineRule="auto"/>
        <w:rPr>
          <w:lang w:val="de-DE"/>
        </w:rPr>
      </w:pPr>
    </w:p>
    <w:p w:rsidR="00227883" w:rsidRPr="00227883" w:rsidRDefault="002A0FDF" w:rsidP="003D1BFA">
      <w:pPr>
        <w:spacing w:line="360" w:lineRule="auto"/>
        <w:rPr>
          <w:lang w:val="de-DE"/>
        </w:rPr>
      </w:pPr>
      <w:r>
        <w:rPr>
          <w:rFonts w:ascii="Code2000" w:hAnsi="Code2000"/>
          <w:lang w:val="de-DE"/>
        </w:rPr>
        <w:t xml:space="preserve">„Dieses ‚Nichthandeln‘ ist nichts anderes als eine Bestimmung per </w:t>
      </w:r>
      <w:proofErr w:type="spellStart"/>
      <w:r>
        <w:rPr>
          <w:rFonts w:ascii="Code2000" w:hAnsi="Code2000"/>
          <w:lang w:val="de-DE"/>
        </w:rPr>
        <w:t>exclusionem</w:t>
      </w:r>
      <w:proofErr w:type="spellEnd"/>
      <w:r>
        <w:rPr>
          <w:rFonts w:ascii="Code2000" w:hAnsi="Code2000"/>
          <w:lang w:val="de-DE"/>
        </w:rPr>
        <w:t xml:space="preserve"> oder ‚via </w:t>
      </w:r>
      <w:proofErr w:type="spellStart"/>
      <w:r>
        <w:rPr>
          <w:rFonts w:ascii="Code2000" w:hAnsi="Code2000"/>
          <w:lang w:val="de-DE"/>
        </w:rPr>
        <w:t>negationis</w:t>
      </w:r>
      <w:proofErr w:type="spellEnd"/>
      <w:r>
        <w:rPr>
          <w:rFonts w:ascii="Code2000" w:hAnsi="Code2000"/>
          <w:lang w:val="de-DE"/>
        </w:rPr>
        <w:t>‘. Vom göttlichen Handeln will er sagen, müssen wir alle Vorstellungen, die wir vom menschlichen Handeln haben, ausschließen.“</w:t>
      </w:r>
      <w:r>
        <w:rPr>
          <w:rStyle w:val="FootnoteReference"/>
          <w:rFonts w:ascii="Code2000" w:hAnsi="Code2000"/>
          <w:lang w:val="de-DE"/>
        </w:rPr>
        <w:footnoteReference w:id="52"/>
      </w:r>
    </w:p>
    <w:p w:rsidR="00227883" w:rsidRDefault="00227883" w:rsidP="003D1BFA">
      <w:pPr>
        <w:spacing w:line="360" w:lineRule="auto"/>
        <w:rPr>
          <w:b/>
          <w:lang w:val="de-DE"/>
        </w:rPr>
      </w:pPr>
    </w:p>
    <w:p w:rsidR="00227883" w:rsidRPr="00925DB3" w:rsidRDefault="002A0FDF" w:rsidP="003D1BFA">
      <w:pPr>
        <w:spacing w:line="360" w:lineRule="auto"/>
        <w:rPr>
          <w:lang w:val="de-DE"/>
        </w:rPr>
      </w:pPr>
      <w:r w:rsidRPr="002A0FDF">
        <w:rPr>
          <w:lang w:val="de-DE"/>
        </w:rPr>
        <w:t xml:space="preserve">Für Tolstoi, </w:t>
      </w:r>
      <w:r>
        <w:rPr>
          <w:lang w:val="de-DE"/>
        </w:rPr>
        <w:t xml:space="preserve">der Anhänger der Lehre vom im Schweiße deines Angesichts sollst du dein Brot verdienen, </w:t>
      </w:r>
      <w:r w:rsidR="00925DB3">
        <w:rPr>
          <w:lang w:val="de-DE"/>
        </w:rPr>
        <w:t>wäre es mit Sicherheit interessant gewesen zu erfahren, dass das taoistische wu wei im Japan des 20. Jahrhunderts erfolgreich auf die Landwirtschaft angewandt worden. Die sogenannte „Nichts-Tun-Landwirtschaft“</w:t>
      </w:r>
      <w:r w:rsidR="00925DB3">
        <w:rPr>
          <w:rStyle w:val="FootnoteReference"/>
          <w:lang w:val="de-DE"/>
        </w:rPr>
        <w:footnoteReference w:id="53"/>
      </w:r>
      <w:r w:rsidR="00925DB3">
        <w:rPr>
          <w:lang w:val="de-DE"/>
        </w:rPr>
        <w:t xml:space="preserve"> ist mit Tolstois Grundüberzeugungen besser in Einklang zu bringen als der biblische Kampf gegen die Natur. Der Entwickler der Methode, </w:t>
      </w:r>
      <w:proofErr w:type="spellStart"/>
      <w:r w:rsidR="00925DB3">
        <w:rPr>
          <w:lang w:val="de-DE"/>
        </w:rPr>
        <w:t>Masanobu</w:t>
      </w:r>
      <w:proofErr w:type="spellEnd"/>
      <w:r w:rsidR="00925DB3">
        <w:rPr>
          <w:lang w:val="de-DE"/>
        </w:rPr>
        <w:t xml:space="preserve"> Fukuoka berichtet von seiner wu wei Landwirtschaft auf folgende Weise: </w:t>
      </w:r>
    </w:p>
    <w:p w:rsidR="0053268F" w:rsidRDefault="0053268F" w:rsidP="003D1BFA">
      <w:pPr>
        <w:spacing w:line="360" w:lineRule="auto"/>
        <w:rPr>
          <w:b/>
          <w:lang w:val="de-DE"/>
        </w:rPr>
      </w:pPr>
    </w:p>
    <w:p w:rsidR="008412ED" w:rsidRDefault="008412ED" w:rsidP="00925DB3">
      <w:pPr>
        <w:rPr>
          <w:lang w:val="de-DE"/>
        </w:rPr>
      </w:pPr>
      <w:r>
        <w:rPr>
          <w:lang w:val="de-DE"/>
        </w:rPr>
        <w:t>„In jenen Jahren bewegte ich mich zielstrebig auf eine landwirtschaftliche Methode des „Nichts-Tuns“ zu.</w:t>
      </w:r>
    </w:p>
    <w:p w:rsidR="008412ED" w:rsidRDefault="008412ED" w:rsidP="00925DB3">
      <w:pPr>
        <w:rPr>
          <w:lang w:val="de-DE"/>
        </w:rPr>
      </w:pPr>
      <w:r>
        <w:rPr>
          <w:lang w:val="de-DE"/>
        </w:rPr>
        <w:t>Der übliche Weg, eine Methode zu entwickeln, ist, zu fragen: „Wie wäre es, dies zu probieren?“ oder: „Warum nicht einmal jenes versuchen?“ und nacheinander eine Vielzahl von Techniken einzuführen. Das ist moderne Landwirtschaft, sie führt nur dazu, den Bauern mehr zu beschäftigen.</w:t>
      </w:r>
    </w:p>
    <w:p w:rsidR="008412ED" w:rsidRDefault="008412ED" w:rsidP="00925DB3">
      <w:pPr>
        <w:rPr>
          <w:lang w:val="de-DE"/>
        </w:rPr>
      </w:pPr>
      <w:r>
        <w:rPr>
          <w:lang w:val="de-DE"/>
        </w:rPr>
        <w:t>Mein Weg war entgegengesetzt. Ich zielte auf eine angenehme, natürliche Anbauweise, die darin resultieren sollte, die Arbeit leichter statt schwerer zu machen. Ich zielte auf einen Anbau, so einfach wie möglich, innerhalb und in Zusammenhängen mit der natürlichen Umwelt – entgegen der modernen Einstellung, in [39]</w:t>
      </w:r>
      <w:r w:rsidR="00925DB3">
        <w:rPr>
          <w:lang w:val="de-DE"/>
        </w:rPr>
        <w:t xml:space="preserve"> </w:t>
      </w:r>
      <w:r>
        <w:rPr>
          <w:lang w:val="de-DE"/>
        </w:rPr>
        <w:t xml:space="preserve">wachsendem Maße komplexe Technologien anzuwenden, um die Natur vollständig zum Wohle des Menschen umzuformen. </w:t>
      </w:r>
    </w:p>
    <w:p w:rsidR="00817CF3" w:rsidRDefault="008412ED" w:rsidP="00925DB3">
      <w:pPr>
        <w:rPr>
          <w:lang w:val="de-DE"/>
        </w:rPr>
      </w:pPr>
      <w:r>
        <w:rPr>
          <w:lang w:val="de-DE"/>
        </w:rPr>
        <w:t>„Wie wäre es, dies nicht zu tun? Warum jenes nicht unterlassen?“ – das war meine Art des Denkens. Letztendlich kam ich zu der Erkenntnis, dass es unnötig ist, zu pflügen</w:t>
      </w:r>
      <w:r w:rsidR="00FF67AB">
        <w:rPr>
          <w:lang w:val="de-DE"/>
        </w:rPr>
        <w:t xml:space="preserve">; unnötig, Dünger zu verwenden; unnötig, Kompost zu bereiten; unnötig, Insektizide einzusetzen. Im Grunde genommen gibt es wenige landwirtschaftliche Praktiken, die wirklich nötig sind.“ (38-39) </w:t>
      </w:r>
    </w:p>
    <w:p w:rsidR="00D36AB7" w:rsidRDefault="00D36AB7" w:rsidP="003D1BFA">
      <w:pPr>
        <w:spacing w:line="360" w:lineRule="auto"/>
        <w:rPr>
          <w:lang w:val="de-DE"/>
        </w:rPr>
      </w:pPr>
    </w:p>
    <w:p w:rsidR="0056063C" w:rsidRDefault="006513A6" w:rsidP="003D1BFA">
      <w:pPr>
        <w:spacing w:line="360" w:lineRule="auto"/>
        <w:rPr>
          <w:lang w:val="de-DE"/>
        </w:rPr>
      </w:pPr>
      <w:proofErr w:type="spellStart"/>
      <w:r>
        <w:rPr>
          <w:lang w:val="de-DE"/>
        </w:rPr>
        <w:lastRenderedPageBreak/>
        <w:t>Metanoiete</w:t>
      </w:r>
      <w:proofErr w:type="spellEnd"/>
      <w:r>
        <w:rPr>
          <w:lang w:val="de-DE"/>
        </w:rPr>
        <w:t xml:space="preserve">: </w:t>
      </w:r>
    </w:p>
    <w:p w:rsidR="006513A6" w:rsidRDefault="0056063C" w:rsidP="003D1BFA">
      <w:pPr>
        <w:spacing w:line="360" w:lineRule="auto"/>
        <w:rPr>
          <w:lang w:val="de-DE"/>
        </w:rPr>
      </w:pPr>
      <w:r>
        <w:rPr>
          <w:lang w:val="de-DE"/>
        </w:rPr>
        <w:t>„</w:t>
      </w:r>
      <w:r w:rsidR="006513A6">
        <w:rPr>
          <w:lang w:val="de-DE"/>
        </w:rPr>
        <w:t>Besinnet Euch! (Tut Buße) Ein Wort zum Russisch-Japanischen Krieg.</w:t>
      </w:r>
      <w:r>
        <w:rPr>
          <w:lang w:val="de-DE"/>
        </w:rPr>
        <w:t>“ In: Religiös-ethische Flugschriften Band II. Sämtliche Werke</w:t>
      </w:r>
      <w:r w:rsidR="002715D4">
        <w:rPr>
          <w:lang w:val="de-DE"/>
        </w:rPr>
        <w:t>. I. Serie. Sozial-ethische Schriften. Band 12. Jena: Diederichs, 1911,</w:t>
      </w:r>
      <w:r w:rsidR="006513A6">
        <w:rPr>
          <w:lang w:val="de-DE"/>
        </w:rPr>
        <w:t xml:space="preserve"> 1-100. </w:t>
      </w:r>
    </w:p>
    <w:p w:rsidR="0056063C" w:rsidRDefault="0056063C" w:rsidP="003D1BFA">
      <w:pPr>
        <w:spacing w:line="360" w:lineRule="auto"/>
        <w:rPr>
          <w:lang w:val="de-DE"/>
        </w:rPr>
      </w:pPr>
      <w:r>
        <w:rPr>
          <w:lang w:val="de-DE"/>
        </w:rPr>
        <w:t>„</w:t>
      </w:r>
      <w:proofErr w:type="spellStart"/>
      <w:r>
        <w:rPr>
          <w:lang w:val="de-DE"/>
        </w:rPr>
        <w:t>Jasnaja</w:t>
      </w:r>
      <w:proofErr w:type="spellEnd"/>
      <w:r>
        <w:rPr>
          <w:lang w:val="de-DE"/>
        </w:rPr>
        <w:t xml:space="preserve"> </w:t>
      </w:r>
      <w:proofErr w:type="spellStart"/>
      <w:r>
        <w:rPr>
          <w:lang w:val="de-DE"/>
        </w:rPr>
        <w:t>Poljana</w:t>
      </w:r>
      <w:proofErr w:type="spellEnd"/>
      <w:r>
        <w:rPr>
          <w:lang w:val="de-DE"/>
        </w:rPr>
        <w:t>, den 8. Mai 1904.</w:t>
      </w:r>
    </w:p>
    <w:p w:rsidR="0056063C" w:rsidRDefault="0056063C" w:rsidP="003D1BFA">
      <w:pPr>
        <w:spacing w:line="360" w:lineRule="auto"/>
        <w:rPr>
          <w:lang w:val="de-DE"/>
        </w:rPr>
      </w:pPr>
      <w:r>
        <w:rPr>
          <w:lang w:val="de-DE"/>
        </w:rPr>
        <w:t>„Vor zweitausend Jahren hat Johannes der Täufer, und nach ihm Christus, den Menschen gesagt: Die Zeit ist erfüllet und das Reich Gottes ist zu Euch gekommen. Tut Buße ([</w:t>
      </w:r>
      <w:proofErr w:type="spellStart"/>
      <w:r>
        <w:rPr>
          <w:lang w:val="de-DE"/>
        </w:rPr>
        <w:t>metanoiete</w:t>
      </w:r>
      <w:proofErr w:type="spellEnd"/>
      <w:r>
        <w:rPr>
          <w:lang w:val="de-DE"/>
        </w:rPr>
        <w:t>])</w:t>
      </w:r>
      <w:r>
        <w:rPr>
          <w:rStyle w:val="FootnoteReference"/>
          <w:lang w:val="de-DE"/>
        </w:rPr>
        <w:footnoteReference w:id="54"/>
      </w:r>
      <w:r>
        <w:rPr>
          <w:lang w:val="de-DE"/>
        </w:rPr>
        <w:t xml:space="preserve"> und glaubet an das Evangelium (Markus I, 15). Und wenn Ihr nicht Buße tut, werdet Ihr alle umkommen (Lukas XIII, 5).“ (38)</w:t>
      </w:r>
    </w:p>
    <w:p w:rsidR="0056063C" w:rsidRDefault="0056063C" w:rsidP="003D1BFA">
      <w:pPr>
        <w:spacing w:line="360" w:lineRule="auto"/>
        <w:rPr>
          <w:lang w:val="de-DE"/>
        </w:rPr>
      </w:pPr>
      <w:r>
        <w:rPr>
          <w:lang w:val="de-DE"/>
        </w:rPr>
        <w:t xml:space="preserve">„Christus hat gesagt: Besinnet Euch. Das heißt: jeder Mensch halte still in seiner Tätigkeit und frage sich: Wer bist Du, woher kommst Du, was ist Deine Bestimmung?“ (39) </w:t>
      </w:r>
    </w:p>
    <w:p w:rsidR="006513A6" w:rsidRDefault="006513A6" w:rsidP="003D1BFA">
      <w:pPr>
        <w:spacing w:line="360" w:lineRule="auto"/>
        <w:rPr>
          <w:lang w:val="de-DE"/>
        </w:rPr>
      </w:pPr>
    </w:p>
    <w:p w:rsidR="00D36AB7" w:rsidRDefault="00FC2E0F" w:rsidP="003D1BFA">
      <w:pPr>
        <w:pStyle w:val="Heading1"/>
        <w:spacing w:before="0" w:line="360" w:lineRule="auto"/>
        <w:rPr>
          <w:lang w:val="de-DE"/>
        </w:rPr>
      </w:pPr>
      <w:bookmarkStart w:id="8" w:name="_Toc31826796"/>
      <w:bookmarkStart w:id="9" w:name="_Toc33855033"/>
      <w:proofErr w:type="spellStart"/>
      <w:r>
        <w:rPr>
          <w:lang w:val="de-DE"/>
        </w:rPr>
        <w:t>Nichttun</w:t>
      </w:r>
      <w:proofErr w:type="spellEnd"/>
      <w:r>
        <w:rPr>
          <w:lang w:val="de-DE"/>
        </w:rPr>
        <w:t xml:space="preserve"> als Einhalten und Besinnen</w:t>
      </w:r>
      <w:bookmarkEnd w:id="8"/>
      <w:bookmarkEnd w:id="9"/>
    </w:p>
    <w:p w:rsidR="00F50FFB" w:rsidRPr="00F50FFB" w:rsidRDefault="004E4FE3" w:rsidP="00905131">
      <w:pPr>
        <w:spacing w:line="360" w:lineRule="auto"/>
        <w:rPr>
          <w:lang w:val="de-DE"/>
        </w:rPr>
      </w:pPr>
      <w:r>
        <w:rPr>
          <w:lang w:val="de-DE"/>
        </w:rPr>
        <w:t xml:space="preserve">In Zolas Interview mit dem </w:t>
      </w:r>
      <w:r w:rsidR="00F50FFB">
        <w:rPr>
          <w:i/>
          <w:lang w:val="de-DE"/>
        </w:rPr>
        <w:t>New York</w:t>
      </w:r>
      <w:r w:rsidRPr="002A0FDF">
        <w:rPr>
          <w:i/>
          <w:lang w:val="de-DE"/>
        </w:rPr>
        <w:t xml:space="preserve"> </w:t>
      </w:r>
      <w:proofErr w:type="spellStart"/>
      <w:r w:rsidRPr="002A0FDF">
        <w:rPr>
          <w:i/>
          <w:lang w:val="de-DE"/>
        </w:rPr>
        <w:t>Herald</w:t>
      </w:r>
      <w:proofErr w:type="spellEnd"/>
      <w:r>
        <w:rPr>
          <w:lang w:val="de-DE"/>
        </w:rPr>
        <w:t xml:space="preserve">, welches zum Anlass von Tolstois </w:t>
      </w:r>
      <w:proofErr w:type="spellStart"/>
      <w:r w:rsidRPr="002A0FDF">
        <w:rPr>
          <w:i/>
          <w:lang w:val="de-DE"/>
        </w:rPr>
        <w:t>Kreutzersonate</w:t>
      </w:r>
      <w:proofErr w:type="spellEnd"/>
      <w:r>
        <w:rPr>
          <w:lang w:val="de-DE"/>
        </w:rPr>
        <w:t xml:space="preserve"> geführt wurde, hatte Zola neben der Behauptung, Tolstoi habe einen Sprung in der Schüssel, eine weitere Beleidigung folgen lassen: er gehöre eher dem 12. als dem 19. Jahrhundert an und sei eine Zusammensetzung aus mittelalterlichem Mönch und modernem Slawen.</w:t>
      </w:r>
      <w:r>
        <w:rPr>
          <w:rStyle w:val="FootnoteReference"/>
          <w:lang w:val="de-DE"/>
        </w:rPr>
        <w:footnoteReference w:id="55"/>
      </w:r>
      <w:r>
        <w:rPr>
          <w:lang w:val="de-DE"/>
        </w:rPr>
        <w:t xml:space="preserve"> Zola hatte mit dem Vergleich mit dem Mönch des 12. Jahrhunderts seinen Unmut über Tolstois Asketismus zum Ausdruck gebracht, dabei jedoch ohne es zu ahnen, einen treffenden Vergleich gezogen, weniger über die Askese, sondern über eine zentrale</w:t>
      </w:r>
      <w:r w:rsidR="002A0FDF">
        <w:rPr>
          <w:lang w:val="de-DE"/>
        </w:rPr>
        <w:t xml:space="preserve"> Eigenschaft des </w:t>
      </w:r>
      <w:proofErr w:type="spellStart"/>
      <w:r w:rsidR="002A0FDF">
        <w:rPr>
          <w:lang w:val="de-DE"/>
        </w:rPr>
        <w:t>Tolstoischen</w:t>
      </w:r>
      <w:proofErr w:type="spellEnd"/>
      <w:r w:rsidR="002A0FDF">
        <w:rPr>
          <w:lang w:val="de-DE"/>
        </w:rPr>
        <w:t xml:space="preserve"> Denkens, nämlich seinem </w:t>
      </w:r>
      <w:r w:rsidR="00D36AB7" w:rsidRPr="00905131">
        <w:rPr>
          <w:i/>
          <w:lang w:val="de-DE"/>
        </w:rPr>
        <w:t>heilszentrierte</w:t>
      </w:r>
      <w:r w:rsidR="002A0FDF" w:rsidRPr="00905131">
        <w:rPr>
          <w:i/>
          <w:lang w:val="de-DE"/>
        </w:rPr>
        <w:t>n</w:t>
      </w:r>
      <w:r w:rsidR="00D36AB7" w:rsidRPr="00D36AB7">
        <w:rPr>
          <w:lang w:val="de-DE"/>
        </w:rPr>
        <w:t xml:space="preserve"> Denken </w:t>
      </w:r>
      <w:r w:rsidR="002A0FDF">
        <w:rPr>
          <w:lang w:val="de-DE"/>
        </w:rPr>
        <w:t>welchen er mit einem der wirkmächtigsten Mönche des 12. Jahrhunderts in Frankreich gemein hat:</w:t>
      </w:r>
      <w:r w:rsidR="00D36AB7" w:rsidRPr="00D36AB7">
        <w:rPr>
          <w:lang w:val="de-DE"/>
        </w:rPr>
        <w:t xml:space="preserve"> Bernhard von Clairvaux</w:t>
      </w:r>
      <w:r w:rsidR="002A0FDF">
        <w:rPr>
          <w:lang w:val="de-DE"/>
        </w:rPr>
        <w:t xml:space="preserve">. </w:t>
      </w:r>
      <w:r w:rsidR="00905131">
        <w:rPr>
          <w:lang w:val="de-DE"/>
        </w:rPr>
        <w:t xml:space="preserve">Es gibt vieles, was </w:t>
      </w:r>
      <w:proofErr w:type="spellStart"/>
      <w:r w:rsidR="00905131">
        <w:rPr>
          <w:lang w:val="de-DE"/>
        </w:rPr>
        <w:t>gewußt</w:t>
      </w:r>
      <w:proofErr w:type="spellEnd"/>
      <w:r w:rsidR="00905131">
        <w:rPr>
          <w:lang w:val="de-DE"/>
        </w:rPr>
        <w:t xml:space="preserve"> werden kann, und Tolstoi zählt auf, worauf Menschen ihr Leben verwenden. Aber das Wissen ist nicht Selbstzweck, das Wissen muss das Leben verändern. Genauso predigt Bernhard. In Anspielung auf die Berufe der Apostel und des Paulus, sagt Bernhard, man lerne von den Aposteln nicht die Kunst des </w:t>
      </w:r>
      <w:proofErr w:type="spellStart"/>
      <w:r w:rsidR="00905131">
        <w:rPr>
          <w:lang w:val="de-DE"/>
        </w:rPr>
        <w:t>Fischefangens</w:t>
      </w:r>
      <w:proofErr w:type="spellEnd"/>
      <w:r w:rsidR="00905131">
        <w:rPr>
          <w:lang w:val="de-DE"/>
        </w:rPr>
        <w:t xml:space="preserve"> oder </w:t>
      </w:r>
      <w:proofErr w:type="spellStart"/>
      <w:r w:rsidR="00905131">
        <w:rPr>
          <w:lang w:val="de-DE"/>
        </w:rPr>
        <w:t>Zeltewebens</w:t>
      </w:r>
      <w:proofErr w:type="spellEnd"/>
      <w:r w:rsidR="00905131">
        <w:rPr>
          <w:lang w:val="de-DE"/>
        </w:rPr>
        <w:t xml:space="preserve">, auch nicht, wie man Platon oder Aristoteles zu lesen habe, sondern was die Apostel lehren, ist die höchste Form des Wissens: </w:t>
      </w:r>
      <w:r w:rsidR="00905131">
        <w:rPr>
          <w:lang w:val="de-DE"/>
        </w:rPr>
        <w:lastRenderedPageBreak/>
        <w:t>„</w:t>
      </w:r>
      <w:r w:rsidR="00096DA2">
        <w:rPr>
          <w:lang w:val="de-DE"/>
        </w:rPr>
        <w:t xml:space="preserve">Sie haben mich gelehrt zu leben. Glaubst du, es sei eine Kleinigkeit, wenn man zu leben weiß? </w:t>
      </w:r>
      <w:r w:rsidR="00096DA2" w:rsidRPr="00466D18">
        <w:rPr>
          <w:lang w:val="de-DE"/>
        </w:rPr>
        <w:t>Etwas Gro</w:t>
      </w:r>
      <w:r w:rsidR="00096DA2">
        <w:rPr>
          <w:lang w:val="de-DE"/>
        </w:rPr>
        <w:t>ßes ist es, ja das Allergrößte.“</w:t>
      </w:r>
      <w:r w:rsidR="00F50FFB">
        <w:rPr>
          <w:rStyle w:val="FootnoteReference"/>
          <w:lang w:val="de-DE"/>
        </w:rPr>
        <w:footnoteReference w:id="56"/>
      </w:r>
      <w:r w:rsidR="00905131">
        <w:rPr>
          <w:lang w:val="de-DE"/>
        </w:rPr>
        <w:t xml:space="preserve"> </w:t>
      </w:r>
    </w:p>
    <w:p w:rsidR="00F50FFB" w:rsidRDefault="00F50FFB" w:rsidP="003D1BFA">
      <w:pPr>
        <w:spacing w:line="360" w:lineRule="auto"/>
        <w:rPr>
          <w:lang w:val="de-DE"/>
        </w:rPr>
      </w:pPr>
    </w:p>
    <w:p w:rsidR="00F50FFB" w:rsidRPr="00D36AB7" w:rsidRDefault="00F50FFB" w:rsidP="003D1BFA">
      <w:pPr>
        <w:spacing w:line="360" w:lineRule="auto"/>
        <w:rPr>
          <w:lang w:val="de-DE"/>
        </w:rPr>
      </w:pPr>
    </w:p>
    <w:p w:rsidR="00D36AB7" w:rsidRDefault="00D36AB7" w:rsidP="003D1BFA">
      <w:pPr>
        <w:spacing w:line="360" w:lineRule="auto"/>
        <w:rPr>
          <w:lang w:val="de-DE"/>
        </w:rPr>
      </w:pPr>
      <w:r>
        <w:rPr>
          <w:lang w:val="de-DE"/>
        </w:rPr>
        <w:t xml:space="preserve">Treffend war diese Bemerkung nicht nur, weil Tolstoi seit seiner Bekehrung sich </w:t>
      </w:r>
      <w:proofErr w:type="spellStart"/>
      <w:r>
        <w:rPr>
          <w:lang w:val="de-DE"/>
        </w:rPr>
        <w:t>zumindst</w:t>
      </w:r>
      <w:proofErr w:type="spellEnd"/>
      <w:r>
        <w:rPr>
          <w:lang w:val="de-DE"/>
        </w:rPr>
        <w:t xml:space="preserve"> theoretisch von sinnlichen </w:t>
      </w:r>
      <w:proofErr w:type="spellStart"/>
      <w:r>
        <w:rPr>
          <w:lang w:val="de-DE"/>
        </w:rPr>
        <w:t>Genuessen</w:t>
      </w:r>
      <w:proofErr w:type="spellEnd"/>
      <w:r>
        <w:rPr>
          <w:lang w:val="de-DE"/>
        </w:rPr>
        <w:t xml:space="preserve"> und Lastern losgesagt hatte und allgemein anerkannt wurde als jemand, der Askese predige. Wichtiger in diesem Zusammenhang ist jedoch eine andere Parallele mit einem </w:t>
      </w:r>
      <w:proofErr w:type="spellStart"/>
      <w:r>
        <w:rPr>
          <w:lang w:val="de-DE"/>
        </w:rPr>
        <w:t>Moench</w:t>
      </w:r>
      <w:proofErr w:type="spellEnd"/>
      <w:r>
        <w:rPr>
          <w:lang w:val="de-DE"/>
        </w:rPr>
        <w:t xml:space="preserve"> des 12. Jahrhunderts, und zwar mit einem der prominentesten </w:t>
      </w:r>
      <w:proofErr w:type="spellStart"/>
      <w:r>
        <w:rPr>
          <w:lang w:val="de-DE"/>
        </w:rPr>
        <w:t>Moenche</w:t>
      </w:r>
      <w:proofErr w:type="spellEnd"/>
      <w:r>
        <w:rPr>
          <w:lang w:val="de-DE"/>
        </w:rPr>
        <w:t xml:space="preserve"> dieser Zeit: Bernhard von Clairvaux. Wie dieser unterzieht er dem Wissen seiner Zeit einer Kritik unter der Hinsicht der Fruchtbarkeit </w:t>
      </w:r>
      <w:proofErr w:type="spellStart"/>
      <w:r>
        <w:rPr>
          <w:lang w:val="de-DE"/>
        </w:rPr>
        <w:t>fuer</w:t>
      </w:r>
      <w:proofErr w:type="spellEnd"/>
      <w:r>
        <w:rPr>
          <w:lang w:val="de-DE"/>
        </w:rPr>
        <w:t xml:space="preserve"> das </w:t>
      </w:r>
      <w:proofErr w:type="spellStart"/>
      <w:r>
        <w:rPr>
          <w:lang w:val="de-DE"/>
        </w:rPr>
        <w:t>Seelenheit</w:t>
      </w:r>
      <w:proofErr w:type="spellEnd"/>
      <w:r>
        <w:rPr>
          <w:lang w:val="de-DE"/>
        </w:rPr>
        <w:t xml:space="preserve">, oder, anders gesprochen, Tolstois Denken ist seit seiner Bekehrung wie Bernhards Denken wesentlich </w:t>
      </w:r>
      <w:r w:rsidRPr="006845A6">
        <w:rPr>
          <w:i/>
          <w:lang w:val="de-DE"/>
        </w:rPr>
        <w:t>heilszentriert</w:t>
      </w:r>
      <w:r>
        <w:rPr>
          <w:lang w:val="de-DE"/>
        </w:rPr>
        <w:t xml:space="preserve">. Das beinhaltet: (a) sich dem Wissen zuerst zuwenden, welches heilsrelevant ist (Priorisierung), (b) sich von Neugier (Wissen um </w:t>
      </w:r>
      <w:proofErr w:type="spellStart"/>
      <w:r>
        <w:rPr>
          <w:lang w:val="de-DE"/>
        </w:rPr>
        <w:t>seienr</w:t>
      </w:r>
      <w:proofErr w:type="spellEnd"/>
      <w:r>
        <w:rPr>
          <w:lang w:val="de-DE"/>
        </w:rPr>
        <w:t xml:space="preserve"> selbst willen) fernzuhalten, (c) ein Wissen von sich selbst zu erlangen, welches (d) das Wissen Gottes beinhaltet oder auf ihn weist. Das eine Wissen, das </w:t>
      </w:r>
      <w:proofErr w:type="gramStart"/>
      <w:r>
        <w:rPr>
          <w:lang w:val="de-DE"/>
        </w:rPr>
        <w:t>not tut</w:t>
      </w:r>
      <w:proofErr w:type="gramEnd"/>
      <w:r>
        <w:rPr>
          <w:lang w:val="de-DE"/>
        </w:rPr>
        <w:t xml:space="preserve"> (</w:t>
      </w:r>
      <w:proofErr w:type="spellStart"/>
      <w:r>
        <w:rPr>
          <w:lang w:val="de-DE"/>
        </w:rPr>
        <w:t>unum</w:t>
      </w:r>
      <w:proofErr w:type="spellEnd"/>
      <w:r>
        <w:rPr>
          <w:lang w:val="de-DE"/>
        </w:rPr>
        <w:t xml:space="preserve"> </w:t>
      </w:r>
      <w:proofErr w:type="spellStart"/>
      <w:r>
        <w:rPr>
          <w:lang w:val="de-DE"/>
        </w:rPr>
        <w:t>necessarium</w:t>
      </w:r>
      <w:proofErr w:type="spellEnd"/>
      <w:r>
        <w:rPr>
          <w:lang w:val="de-DE"/>
        </w:rPr>
        <w:t xml:space="preserve">) ist folglich das Wissen um seiner selbst und seiner </w:t>
      </w:r>
      <w:proofErr w:type="spellStart"/>
      <w:r>
        <w:rPr>
          <w:lang w:val="de-DE"/>
        </w:rPr>
        <w:t>Unzulaenglichkeit</w:t>
      </w:r>
      <w:proofErr w:type="spellEnd"/>
      <w:r>
        <w:rPr>
          <w:lang w:val="de-DE"/>
        </w:rPr>
        <w:t xml:space="preserve"> vor Gott. Nichts anderes beschreibt Tolstoi in seinen Bekenntnisschriften. Wie er immer wieder in das </w:t>
      </w:r>
      <w:proofErr w:type="spellStart"/>
      <w:r>
        <w:rPr>
          <w:lang w:val="de-DE"/>
        </w:rPr>
        <w:t>Nichttun</w:t>
      </w:r>
      <w:proofErr w:type="spellEnd"/>
      <w:r>
        <w:rPr>
          <w:lang w:val="de-DE"/>
        </w:rPr>
        <w:t xml:space="preserve"> festhalten wird: wahrer Wandel (im Gegensatz zum status-quo-</w:t>
      </w:r>
      <w:proofErr w:type="spellStart"/>
      <w:r>
        <w:rPr>
          <w:lang w:val="de-DE"/>
        </w:rPr>
        <w:t>stuetzenden</w:t>
      </w:r>
      <w:proofErr w:type="spellEnd"/>
      <w:r>
        <w:rPr>
          <w:lang w:val="de-DE"/>
        </w:rPr>
        <w:t xml:space="preserve"> Fortschritt, wie ihn der Positivismus versteht) beginnt mit der eigenen Erkenntnis, welche den Abstand zu Gott ausmisst. </w:t>
      </w:r>
    </w:p>
    <w:p w:rsidR="00F50FFB" w:rsidRDefault="00F50FFB" w:rsidP="003D1BFA">
      <w:pPr>
        <w:spacing w:line="360" w:lineRule="auto"/>
        <w:rPr>
          <w:lang w:val="de-DE"/>
        </w:rPr>
      </w:pPr>
    </w:p>
    <w:p w:rsidR="00096DA2" w:rsidRDefault="00096DA2" w:rsidP="00096DA2">
      <w:pPr>
        <w:rPr>
          <w:lang w:val="de-DE"/>
        </w:rPr>
      </w:pPr>
      <w:r>
        <w:rPr>
          <w:lang w:val="de-DE"/>
        </w:rPr>
        <w:t xml:space="preserve">1: „nicht jede Unwissenheit ist verwerflich, sondern es gibt ja vieles, ja Unzähliges, was man ohne Beeinträchtigung </w:t>
      </w:r>
      <w:proofErr w:type="gramStart"/>
      <w:r>
        <w:rPr>
          <w:lang w:val="de-DE"/>
        </w:rPr>
        <w:t>seines Heiles</w:t>
      </w:r>
      <w:proofErr w:type="gramEnd"/>
      <w:r>
        <w:rPr>
          <w:lang w:val="de-DE"/>
        </w:rPr>
        <w:t xml:space="preserve"> nicht wissen </w:t>
      </w:r>
      <w:proofErr w:type="spellStart"/>
      <w:r>
        <w:rPr>
          <w:lang w:val="de-DE"/>
        </w:rPr>
        <w:t>muß</w:t>
      </w:r>
      <w:proofErr w:type="spellEnd"/>
      <w:r>
        <w:rPr>
          <w:lang w:val="de-DE"/>
        </w:rPr>
        <w:t xml:space="preserve">.“ </w:t>
      </w:r>
      <w:r>
        <w:rPr>
          <w:rStyle w:val="FootnoteReference"/>
          <w:lang w:val="de-DE"/>
        </w:rPr>
        <w:footnoteReference w:id="57"/>
      </w:r>
    </w:p>
    <w:p w:rsidR="00096DA2" w:rsidRDefault="00096DA2" w:rsidP="00096DA2">
      <w:pPr>
        <w:rPr>
          <w:lang w:val="de-DE"/>
        </w:rPr>
      </w:pPr>
      <w:r>
        <w:rPr>
          <w:lang w:val="de-DE"/>
        </w:rPr>
        <w:t xml:space="preserve">2: „Er verbietet nicht das Wissen, doch mehr zu wissen, als nötig ist. Was bedeutet es aber, zu wissen, um besonnen zu sein? Besonders wachsam auf das zu achten, von dem man mehr oder was man früher wissen </w:t>
      </w:r>
      <w:proofErr w:type="spellStart"/>
      <w:r>
        <w:rPr>
          <w:lang w:val="de-DE"/>
        </w:rPr>
        <w:t>muß</w:t>
      </w:r>
      <w:proofErr w:type="spellEnd"/>
      <w:r>
        <w:rPr>
          <w:lang w:val="de-DE"/>
        </w:rPr>
        <w:t xml:space="preserve">. ‚Die Zeit ist nämlich kurz.‘ (1Kor 7,29) An und für sich ist jedes Wissen gut, vorausgesetzt, </w:t>
      </w:r>
      <w:proofErr w:type="spellStart"/>
      <w:r>
        <w:rPr>
          <w:lang w:val="de-DE"/>
        </w:rPr>
        <w:t>daß</w:t>
      </w:r>
      <w:proofErr w:type="spellEnd"/>
      <w:r>
        <w:rPr>
          <w:lang w:val="de-DE"/>
        </w:rPr>
        <w:t xml:space="preserve"> es sich auf die Wahrheit stützt: du jedoch, der du es wegen der Kürze der Zeit eilig hast, ausführlicher und früher das zu wissen, was du für dein Heil als wichtiger erkannt hast.“</w:t>
      </w:r>
      <w:r>
        <w:rPr>
          <w:rStyle w:val="FootnoteReference"/>
          <w:lang w:val="de-DE"/>
        </w:rPr>
        <w:footnoteReference w:id="58"/>
      </w:r>
    </w:p>
    <w:p w:rsidR="00096DA2" w:rsidRDefault="00096DA2" w:rsidP="00096DA2">
      <w:pPr>
        <w:rPr>
          <w:lang w:val="de-DE"/>
        </w:rPr>
      </w:pPr>
      <w:r>
        <w:rPr>
          <w:lang w:val="de-DE"/>
        </w:rPr>
        <w:t>3. „In welcher Ordnung: nämlich das früher zu erkennen, was für das Heil dringlicher ist“</w:t>
      </w:r>
      <w:r>
        <w:rPr>
          <w:rStyle w:val="FootnoteReference"/>
          <w:lang w:val="de-DE"/>
        </w:rPr>
        <w:footnoteReference w:id="59"/>
      </w:r>
    </w:p>
    <w:p w:rsidR="00F50FFB" w:rsidRDefault="00096DA2" w:rsidP="003D1BFA">
      <w:pPr>
        <w:spacing w:line="360" w:lineRule="auto"/>
        <w:rPr>
          <w:lang w:val="de-DE"/>
        </w:rPr>
      </w:pPr>
      <w:r>
        <w:rPr>
          <w:lang w:val="de-DE"/>
        </w:rPr>
        <w:lastRenderedPageBreak/>
        <w:t xml:space="preserve">„Ich wünsche deshalb, </w:t>
      </w:r>
      <w:proofErr w:type="spellStart"/>
      <w:r>
        <w:rPr>
          <w:lang w:val="de-DE"/>
        </w:rPr>
        <w:t>daß</w:t>
      </w:r>
      <w:proofErr w:type="spellEnd"/>
      <w:r>
        <w:rPr>
          <w:lang w:val="de-DE"/>
        </w:rPr>
        <w:t xml:space="preserve"> eine Seele zuallererst sich selbst erkennt“</w:t>
      </w:r>
      <w:r>
        <w:rPr>
          <w:rStyle w:val="FootnoteReference"/>
          <w:lang w:val="de-DE"/>
        </w:rPr>
        <w:footnoteReference w:id="60"/>
      </w:r>
    </w:p>
    <w:p w:rsidR="00D36AB7" w:rsidRDefault="00D36AB7" w:rsidP="003D1BFA">
      <w:pPr>
        <w:spacing w:line="360" w:lineRule="auto"/>
        <w:rPr>
          <w:lang w:val="de-DE"/>
        </w:rPr>
      </w:pPr>
    </w:p>
    <w:p w:rsidR="00A6786C" w:rsidRDefault="00A6786C" w:rsidP="003D1BFA">
      <w:pPr>
        <w:spacing w:line="360" w:lineRule="auto"/>
        <w:rPr>
          <w:lang w:val="de-DE"/>
        </w:rPr>
      </w:pPr>
      <w:r>
        <w:rPr>
          <w:lang w:val="de-DE"/>
        </w:rPr>
        <w:t xml:space="preserve">Wie gesehen, steht Tolstoi in der Tradition des christlichen </w:t>
      </w:r>
      <w:proofErr w:type="spellStart"/>
      <w:r>
        <w:rPr>
          <w:lang w:val="de-DE"/>
        </w:rPr>
        <w:t>Sokratismus</w:t>
      </w:r>
      <w:proofErr w:type="spellEnd"/>
      <w:r>
        <w:rPr>
          <w:lang w:val="de-DE"/>
        </w:rPr>
        <w:t xml:space="preserve">, von Sokrates über Bernhard von Clairvaux zu Tolstoi. Der Aufruf an die Menschen, welche Tolstoi seit seiner Bekehrung an die Menschheit tätigte, ist daher, </w:t>
      </w:r>
      <w:proofErr w:type="gramStart"/>
      <w:r>
        <w:rPr>
          <w:lang w:val="de-DE"/>
        </w:rPr>
        <w:t>das</w:t>
      </w:r>
      <w:proofErr w:type="gramEnd"/>
      <w:r>
        <w:rPr>
          <w:lang w:val="de-DE"/>
        </w:rPr>
        <w:t xml:space="preserve"> eine, das not tut: einzuhalten und sich zu bedenken. Das Wissen muss Rechenschaft über das eigene Leben, Tun und Lassen geben. Damit ist das Wissen wesentlich heilszentriert. Und im Sinne Sokrates („</w:t>
      </w:r>
      <w:r w:rsidRPr="00233083">
        <w:rPr>
          <w:rFonts w:ascii="Garamond" w:hAnsi="Garamond"/>
          <w:lang w:val="de-DE"/>
        </w:rPr>
        <w:t>Leben ohne Selbsterforschung aber gar nicht verdient gelebt</w:t>
      </w:r>
      <w:r>
        <w:rPr>
          <w:rFonts w:ascii="Garamond" w:hAnsi="Garamond"/>
          <w:lang w:val="de-DE"/>
        </w:rPr>
        <w:t xml:space="preserve"> zu werden“, Apologie des Sokrates, </w:t>
      </w:r>
      <w:r w:rsidRPr="00233083">
        <w:rPr>
          <w:rFonts w:ascii="Arial" w:hAnsi="Arial" w:cs="Arial"/>
          <w:color w:val="222222"/>
          <w:sz w:val="21"/>
          <w:szCs w:val="21"/>
          <w:shd w:val="clear" w:color="auto" w:fill="FFFFFF"/>
          <w:lang w:val="de-DE"/>
        </w:rPr>
        <w:t>38a5–6</w:t>
      </w:r>
      <w:r>
        <w:rPr>
          <w:lang w:val="de-DE"/>
        </w:rPr>
        <w:t xml:space="preserve">) schreibt Tolstoi in einem Brief an seinen ältesten Sohn </w:t>
      </w:r>
      <w:proofErr w:type="spellStart"/>
      <w:r>
        <w:rPr>
          <w:lang w:val="de-DE"/>
        </w:rPr>
        <w:t>Serjosha</w:t>
      </w:r>
      <w:proofErr w:type="spellEnd"/>
      <w:r>
        <w:rPr>
          <w:lang w:val="de-DE"/>
        </w:rPr>
        <w:t xml:space="preserve"> und seine älteste Tochter Tatjana, seinen letzten, den er noch unterschrieb: „ein Leben aber ohne Erklärung seiner Bedeutung und seines Sinnes und ohne eine sich daraus ergebende unabänderliche Richtschnur ist ein erbärmliches Existieren. Denke hierüber einmal nach.“ (569)</w:t>
      </w:r>
      <w:r>
        <w:rPr>
          <w:rStyle w:val="FootnoteReference"/>
          <w:lang w:val="de-DE"/>
        </w:rPr>
        <w:footnoteReference w:id="61"/>
      </w:r>
    </w:p>
    <w:p w:rsidR="00A6786C" w:rsidRDefault="00A6786C" w:rsidP="003D1BFA">
      <w:pPr>
        <w:spacing w:line="360" w:lineRule="auto"/>
        <w:rPr>
          <w:lang w:val="de-DE"/>
        </w:rPr>
      </w:pPr>
    </w:p>
    <w:p w:rsidR="00136DD5" w:rsidRDefault="00136DD5" w:rsidP="003D1BFA">
      <w:pPr>
        <w:spacing w:line="360" w:lineRule="auto"/>
        <w:rPr>
          <w:lang w:val="de-DE"/>
        </w:rPr>
      </w:pPr>
      <w:r>
        <w:rPr>
          <w:lang w:val="de-DE"/>
        </w:rPr>
        <w:t xml:space="preserve">In dem letzten vollständigen Brief, den Tolstoi noch selber unterschrieb, an seinen Sohn </w:t>
      </w:r>
      <w:proofErr w:type="spellStart"/>
      <w:r>
        <w:rPr>
          <w:lang w:val="de-DE"/>
        </w:rPr>
        <w:t>Serjosha</w:t>
      </w:r>
      <w:proofErr w:type="spellEnd"/>
      <w:r>
        <w:rPr>
          <w:lang w:val="de-DE"/>
        </w:rPr>
        <w:t xml:space="preserve"> und Tatjana geschrieben, heißt es in eben dieser Variante des </w:t>
      </w:r>
      <w:proofErr w:type="spellStart"/>
      <w:r>
        <w:rPr>
          <w:lang w:val="de-DE"/>
        </w:rPr>
        <w:t>Sokratismus</w:t>
      </w:r>
      <w:proofErr w:type="spellEnd"/>
      <w:r>
        <w:rPr>
          <w:lang w:val="de-DE"/>
        </w:rPr>
        <w:t xml:space="preserve"> und christlichen </w:t>
      </w:r>
      <w:proofErr w:type="spellStart"/>
      <w:r>
        <w:rPr>
          <w:lang w:val="de-DE"/>
        </w:rPr>
        <w:t>Sokratismus</w:t>
      </w:r>
      <w:proofErr w:type="spellEnd"/>
      <w:r>
        <w:rPr>
          <w:lang w:val="de-DE"/>
        </w:rPr>
        <w:t>, der Einsicht, dass eine wahre Veränderung im Leben weder die Wissenschaft noch die Technik, weder die Arbeit noch das Werk ist, sondern allein die Einsicht in das richtige Leben, einer Einsicht, die sich realisieren will: „ein Leben aber ohne Erklärung seiner Bedeutung und seines Sinnes und ohne eine sich daraus ergebende unabänderliche Richtschnur ist ein erbärmliches Existieren. Denke hierüber einmal nach.“</w:t>
      </w:r>
      <w:r>
        <w:rPr>
          <w:rStyle w:val="FootnoteReference"/>
          <w:lang w:val="de-DE"/>
        </w:rPr>
        <w:footnoteReference w:id="62"/>
      </w:r>
      <w:r>
        <w:rPr>
          <w:lang w:val="de-DE"/>
        </w:rPr>
        <w:t xml:space="preserve"> Diese Botschaft hat Tolstoi seinen Kindern als seine letzte Botschaft mit auf den Weg geben wollen. Sie ist auch an uns gerichtet. Tolstois Bedeutung, seine nie endende Aktualität, welche ihn in die Reihe der Denker des christlichen </w:t>
      </w:r>
      <w:proofErr w:type="spellStart"/>
      <w:r>
        <w:rPr>
          <w:lang w:val="de-DE"/>
        </w:rPr>
        <w:t>Sokratismus</w:t>
      </w:r>
      <w:proofErr w:type="spellEnd"/>
      <w:r>
        <w:rPr>
          <w:lang w:val="de-DE"/>
        </w:rPr>
        <w:t xml:space="preserve"> einreiht, </w:t>
      </w:r>
      <w:r w:rsidR="00A6786C">
        <w:rPr>
          <w:lang w:val="de-DE"/>
        </w:rPr>
        <w:t xml:space="preserve">- Oskar Maria Graf hat recht, er gilt immer und ewig – ist die, uns immer wieder aufs Neue an diese Wahrheit zu </w:t>
      </w:r>
      <w:proofErr w:type="spellStart"/>
      <w:r w:rsidR="00A6786C">
        <w:rPr>
          <w:lang w:val="de-DE"/>
        </w:rPr>
        <w:t>erinneren</w:t>
      </w:r>
      <w:proofErr w:type="spellEnd"/>
      <w:r w:rsidR="00A6786C">
        <w:rPr>
          <w:lang w:val="de-DE"/>
        </w:rPr>
        <w:t xml:space="preserve">: </w:t>
      </w:r>
    </w:p>
    <w:p w:rsidR="00136DD5" w:rsidRDefault="00136DD5" w:rsidP="003D1BFA">
      <w:pPr>
        <w:spacing w:line="360" w:lineRule="auto"/>
        <w:rPr>
          <w:lang w:val="de-DE"/>
        </w:rPr>
      </w:pPr>
    </w:p>
    <w:p w:rsidR="00136DD5" w:rsidRPr="00372AB6" w:rsidRDefault="00136DD5" w:rsidP="00096DA2">
      <w:pPr>
        <w:rPr>
          <w:lang w:val="de-DE"/>
        </w:rPr>
      </w:pPr>
      <w:r>
        <w:rPr>
          <w:lang w:val="de-DE"/>
        </w:rPr>
        <w:t xml:space="preserve">„Immer wieder brauchen wir solche Mahner, Rufer, Wecker, wenn wir nahe daran sind, von einer kulturlichen Schlafkrankheit befallen und überwältigt werden. Diese Bekenntnisdenker </w:t>
      </w:r>
      <w:r>
        <w:rPr>
          <w:lang w:val="de-DE"/>
        </w:rPr>
        <w:lastRenderedPageBreak/>
        <w:t xml:space="preserve">sind die glücklichen Störenfriede und </w:t>
      </w:r>
      <w:proofErr w:type="spellStart"/>
      <w:r>
        <w:rPr>
          <w:lang w:val="de-DE"/>
        </w:rPr>
        <w:t>Umwerter</w:t>
      </w:r>
      <w:proofErr w:type="spellEnd"/>
      <w:r>
        <w:rPr>
          <w:lang w:val="de-DE"/>
        </w:rPr>
        <w:t>, die uns vor einer seelischen Arterienverkalkung zu schützen die Fügung und innere Berufung haben.“</w:t>
      </w:r>
      <w:r>
        <w:rPr>
          <w:rStyle w:val="FootnoteReference"/>
          <w:lang w:val="de-DE"/>
        </w:rPr>
        <w:footnoteReference w:id="63"/>
      </w:r>
      <w:r>
        <w:rPr>
          <w:lang w:val="de-DE"/>
        </w:rPr>
        <w:t xml:space="preserve"> </w:t>
      </w:r>
    </w:p>
    <w:p w:rsidR="00136DD5" w:rsidRPr="00136DD5" w:rsidRDefault="00136DD5" w:rsidP="003D1BFA">
      <w:pPr>
        <w:spacing w:line="360" w:lineRule="auto"/>
        <w:rPr>
          <w:lang w:val="de-DE"/>
        </w:rPr>
      </w:pPr>
    </w:p>
    <w:p w:rsidR="002F0C76" w:rsidRPr="00136DD5" w:rsidRDefault="002F0C76" w:rsidP="003D1BFA">
      <w:pPr>
        <w:spacing w:line="360" w:lineRule="auto"/>
        <w:rPr>
          <w:lang w:val="de-DE"/>
        </w:rPr>
      </w:pPr>
    </w:p>
    <w:p w:rsidR="002F0C76" w:rsidRDefault="002F0C76" w:rsidP="003D1BFA">
      <w:pPr>
        <w:spacing w:line="360" w:lineRule="auto"/>
        <w:rPr>
          <w:lang w:val="de-DE"/>
        </w:rPr>
      </w:pPr>
    </w:p>
    <w:p w:rsidR="001D1252" w:rsidRDefault="001D1252" w:rsidP="003D1BFA">
      <w:pPr>
        <w:spacing w:line="360" w:lineRule="auto"/>
        <w:rPr>
          <w:lang w:val="de-DE"/>
        </w:rPr>
      </w:pPr>
    </w:p>
    <w:p w:rsidR="001D1252" w:rsidRPr="00136DD5" w:rsidRDefault="001D1252" w:rsidP="003D1BFA">
      <w:pPr>
        <w:pStyle w:val="Heading1"/>
        <w:spacing w:before="0" w:line="360" w:lineRule="auto"/>
        <w:rPr>
          <w:lang w:val="de-DE"/>
        </w:rPr>
      </w:pPr>
      <w:bookmarkStart w:id="10" w:name="_Toc33855034"/>
      <w:r w:rsidRPr="00136DD5">
        <w:rPr>
          <w:lang w:val="de-DE"/>
        </w:rPr>
        <w:t>Verwendete Literatur:</w:t>
      </w:r>
      <w:bookmarkEnd w:id="10"/>
    </w:p>
    <w:p w:rsidR="001D1252" w:rsidRDefault="001D1252" w:rsidP="003D1BFA">
      <w:pPr>
        <w:spacing w:line="360" w:lineRule="auto"/>
        <w:rPr>
          <w:lang w:val="de-DE"/>
        </w:rPr>
      </w:pPr>
    </w:p>
    <w:p w:rsidR="001D1252" w:rsidRPr="00136DD5" w:rsidRDefault="001D1252" w:rsidP="003D1BFA">
      <w:pPr>
        <w:spacing w:line="360" w:lineRule="auto"/>
        <w:rPr>
          <w:lang w:val="de-DE"/>
        </w:rPr>
      </w:pPr>
      <w:r w:rsidRPr="00136DD5">
        <w:rPr>
          <w:lang w:val="de-DE"/>
        </w:rPr>
        <w:t xml:space="preserve">„Zola et </w:t>
      </w:r>
      <w:proofErr w:type="spellStart"/>
      <w:r w:rsidRPr="00136DD5">
        <w:rPr>
          <w:lang w:val="de-DE"/>
        </w:rPr>
        <w:t>Tolsto</w:t>
      </w:r>
      <w:r w:rsidRPr="00136DD5">
        <w:rPr>
          <w:rFonts w:ascii="Calibri" w:hAnsi="Calibri" w:cs="Calibri"/>
          <w:lang w:val="de-DE"/>
        </w:rPr>
        <w:t>ï</w:t>
      </w:r>
      <w:proofErr w:type="spellEnd"/>
      <w:r w:rsidRPr="00136DD5">
        <w:rPr>
          <w:lang w:val="de-DE"/>
        </w:rPr>
        <w:t xml:space="preserve">“. In: </w:t>
      </w:r>
      <w:r w:rsidRPr="00136DD5">
        <w:rPr>
          <w:i/>
          <w:lang w:val="de-DE"/>
        </w:rPr>
        <w:t>Le Journal</w:t>
      </w:r>
      <w:r w:rsidRPr="00136DD5">
        <w:rPr>
          <w:lang w:val="de-DE"/>
        </w:rPr>
        <w:t xml:space="preserve">, 27. Juni 1894, 4. </w:t>
      </w:r>
    </w:p>
    <w:p w:rsidR="001D1252" w:rsidRPr="00897300" w:rsidRDefault="001D1252" w:rsidP="003D1BFA">
      <w:pPr>
        <w:spacing w:line="360" w:lineRule="auto"/>
        <w:rPr>
          <w:lang w:val="de-DE"/>
        </w:rPr>
      </w:pPr>
      <w:r w:rsidRPr="00897300">
        <w:rPr>
          <w:lang w:val="de-DE"/>
        </w:rPr>
        <w:t xml:space="preserve">Ely </w:t>
      </w:r>
      <w:proofErr w:type="spellStart"/>
      <w:r w:rsidRPr="00897300">
        <w:rPr>
          <w:lang w:val="de-DE"/>
        </w:rPr>
        <w:t>Halp</w:t>
      </w:r>
      <w:r w:rsidRPr="00897300">
        <w:rPr>
          <w:rFonts w:ascii="Calibri" w:hAnsi="Calibri" w:cs="Calibri"/>
          <w:lang w:val="de-DE"/>
        </w:rPr>
        <w:t>é</w:t>
      </w:r>
      <w:r w:rsidRPr="00897300">
        <w:rPr>
          <w:lang w:val="de-DE"/>
        </w:rPr>
        <w:t>rine</w:t>
      </w:r>
      <w:proofErr w:type="spellEnd"/>
      <w:r w:rsidRPr="00897300">
        <w:rPr>
          <w:lang w:val="de-DE"/>
        </w:rPr>
        <w:t>-Kaminsky: „Zola et Tolstoi. (</w:t>
      </w:r>
      <w:proofErr w:type="spellStart"/>
      <w:r w:rsidRPr="00897300">
        <w:rPr>
          <w:lang w:val="de-DE"/>
        </w:rPr>
        <w:t>Entretiens</w:t>
      </w:r>
      <w:proofErr w:type="spellEnd"/>
      <w:r w:rsidRPr="00897300">
        <w:rPr>
          <w:lang w:val="de-DE"/>
        </w:rPr>
        <w:t xml:space="preserve"> et </w:t>
      </w:r>
      <w:proofErr w:type="spellStart"/>
      <w:r w:rsidRPr="00897300">
        <w:rPr>
          <w:lang w:val="de-DE"/>
        </w:rPr>
        <w:t>lettres</w:t>
      </w:r>
      <w:proofErr w:type="spellEnd"/>
      <w:r w:rsidRPr="00897300">
        <w:rPr>
          <w:lang w:val="de-DE"/>
        </w:rPr>
        <w:t xml:space="preserve">)“. In: </w:t>
      </w:r>
      <w:r w:rsidRPr="00897300">
        <w:rPr>
          <w:i/>
          <w:lang w:val="de-DE"/>
        </w:rPr>
        <w:t xml:space="preserve">Le </w:t>
      </w:r>
      <w:proofErr w:type="spellStart"/>
      <w:r w:rsidRPr="00897300">
        <w:rPr>
          <w:i/>
          <w:lang w:val="de-DE"/>
        </w:rPr>
        <w:t>Manuscrit</w:t>
      </w:r>
      <w:proofErr w:type="spellEnd"/>
      <w:r w:rsidRPr="00897300">
        <w:rPr>
          <w:i/>
          <w:lang w:val="de-DE"/>
        </w:rPr>
        <w:t xml:space="preserve"> Autographe</w:t>
      </w:r>
      <w:r w:rsidRPr="00897300">
        <w:rPr>
          <w:lang w:val="de-DE"/>
        </w:rPr>
        <w:t>, 14, 1928, 91-109.</w:t>
      </w:r>
    </w:p>
    <w:p w:rsidR="001D1252" w:rsidRPr="008607D0" w:rsidRDefault="001D1252" w:rsidP="003D1BFA">
      <w:pPr>
        <w:spacing w:line="360" w:lineRule="auto"/>
      </w:pPr>
      <w:r w:rsidRPr="00897300">
        <w:rPr>
          <w:lang w:val="de-DE"/>
        </w:rPr>
        <w:t xml:space="preserve">Ely </w:t>
      </w:r>
      <w:proofErr w:type="spellStart"/>
      <w:r w:rsidRPr="00897300">
        <w:rPr>
          <w:lang w:val="de-DE"/>
        </w:rPr>
        <w:t>Halp</w:t>
      </w:r>
      <w:r w:rsidRPr="00897300">
        <w:rPr>
          <w:rFonts w:ascii="Calibri" w:hAnsi="Calibri" w:cs="Calibri"/>
          <w:lang w:val="de-DE"/>
        </w:rPr>
        <w:t>é</w:t>
      </w:r>
      <w:r w:rsidRPr="00897300">
        <w:rPr>
          <w:lang w:val="de-DE"/>
        </w:rPr>
        <w:t>rine</w:t>
      </w:r>
      <w:proofErr w:type="spellEnd"/>
      <w:r w:rsidRPr="00897300">
        <w:rPr>
          <w:lang w:val="de-DE"/>
        </w:rPr>
        <w:t xml:space="preserve">-Kaminsky: „Zola et </w:t>
      </w:r>
      <w:proofErr w:type="spellStart"/>
      <w:r w:rsidRPr="00897300">
        <w:rPr>
          <w:lang w:val="de-DE"/>
        </w:rPr>
        <w:t>Tolsto</w:t>
      </w:r>
      <w:r w:rsidRPr="00897300">
        <w:rPr>
          <w:rFonts w:ascii="Calibri" w:hAnsi="Calibri" w:cs="Calibri"/>
          <w:lang w:val="de-DE"/>
        </w:rPr>
        <w:t>ï</w:t>
      </w:r>
      <w:proofErr w:type="spellEnd"/>
      <w:r w:rsidRPr="00897300">
        <w:rPr>
          <w:lang w:val="de-DE"/>
        </w:rPr>
        <w:t xml:space="preserve">“. </w:t>
      </w:r>
      <w:r w:rsidRPr="008607D0">
        <w:t xml:space="preserve">In: </w:t>
      </w:r>
      <w:r>
        <w:t xml:space="preserve">Leo </w:t>
      </w:r>
      <w:proofErr w:type="spellStart"/>
      <w:r>
        <w:t>Tolstoi</w:t>
      </w:r>
      <w:proofErr w:type="spellEnd"/>
      <w:r>
        <w:t xml:space="preserve">: </w:t>
      </w:r>
      <w:r w:rsidRPr="008607D0">
        <w:rPr>
          <w:i/>
        </w:rPr>
        <w:t>Zola – Dumas. Guy de Maupassant</w:t>
      </w:r>
      <w:r>
        <w:t>. Paris: L</w:t>
      </w:r>
      <w:r w:rsidRPr="00F3766A">
        <w:rPr>
          <w:rFonts w:ascii="Calibri" w:hAnsi="Calibri" w:cs="Calibri"/>
        </w:rPr>
        <w:t>é</w:t>
      </w:r>
      <w:r>
        <w:rPr>
          <w:rFonts w:ascii="Calibri" w:hAnsi="Calibri" w:cs="Calibri"/>
        </w:rPr>
        <w:t xml:space="preserve">on </w:t>
      </w:r>
      <w:proofErr w:type="spellStart"/>
      <w:r>
        <w:rPr>
          <w:rFonts w:ascii="Calibri" w:hAnsi="Calibri" w:cs="Calibri"/>
        </w:rPr>
        <w:t>Chailley</w:t>
      </w:r>
      <w:proofErr w:type="spellEnd"/>
      <w:r>
        <w:rPr>
          <w:rFonts w:ascii="Calibri" w:hAnsi="Calibri" w:cs="Calibri"/>
        </w:rPr>
        <w:t>, 1896</w:t>
      </w:r>
    </w:p>
    <w:p w:rsidR="001D1252" w:rsidRPr="002F00CA" w:rsidRDefault="001D1252" w:rsidP="003D1BFA">
      <w:pPr>
        <w:spacing w:line="360" w:lineRule="auto"/>
      </w:pPr>
      <w:r>
        <w:t xml:space="preserve">Edward </w:t>
      </w:r>
      <w:proofErr w:type="spellStart"/>
      <w:r>
        <w:t>Lasseigne</w:t>
      </w:r>
      <w:proofErr w:type="spellEnd"/>
      <w:r>
        <w:t xml:space="preserve">: </w:t>
      </w:r>
      <w:r w:rsidRPr="008607D0">
        <w:t>„</w:t>
      </w:r>
      <w:r>
        <w:t>The feud between Leo Tolstoy and Emile Zola and its impact on fin-de-si</w:t>
      </w:r>
      <w:r>
        <w:rPr>
          <w:rFonts w:ascii="Calibri" w:hAnsi="Calibri" w:cs="Calibri"/>
        </w:rPr>
        <w:t>è</w:t>
      </w:r>
      <w:r>
        <w:t xml:space="preserve">cle </w:t>
      </w:r>
      <w:proofErr w:type="gramStart"/>
      <w:r>
        <w:t>Europe</w:t>
      </w:r>
      <w:r w:rsidRPr="008607D0">
        <w:t>“</w:t>
      </w:r>
      <w:proofErr w:type="gramEnd"/>
      <w:r>
        <w:t xml:space="preserve">. In: </w:t>
      </w:r>
      <w:r w:rsidRPr="002F00CA">
        <w:t xml:space="preserve">Emile Zola e o </w:t>
      </w:r>
      <w:r>
        <w:t>naturalism.</w:t>
      </w:r>
      <w:r w:rsidRPr="002F00CA">
        <w:t xml:space="preserve"> </w:t>
      </w:r>
      <w:proofErr w:type="spellStart"/>
      <w:r w:rsidRPr="002F00CA">
        <w:t>Cadernos</w:t>
      </w:r>
      <w:proofErr w:type="spellEnd"/>
      <w:r w:rsidRPr="002F00CA">
        <w:t xml:space="preserve"> </w:t>
      </w:r>
      <w:proofErr w:type="spellStart"/>
      <w:r w:rsidRPr="002F00CA">
        <w:t>Neolatinos</w:t>
      </w:r>
      <w:proofErr w:type="spellEnd"/>
      <w:r w:rsidRPr="002F00CA">
        <w:t xml:space="preserve">, </w:t>
      </w:r>
      <w:proofErr w:type="spellStart"/>
      <w:r w:rsidRPr="002F00CA">
        <w:t>Departamento</w:t>
      </w:r>
      <w:proofErr w:type="spellEnd"/>
      <w:r w:rsidRPr="002F00CA">
        <w:t xml:space="preserve"> de </w:t>
      </w:r>
      <w:proofErr w:type="spellStart"/>
      <w:r w:rsidRPr="002F00CA">
        <w:t>Letras</w:t>
      </w:r>
      <w:proofErr w:type="spellEnd"/>
      <w:r w:rsidRPr="002F00CA">
        <w:t xml:space="preserve"> </w:t>
      </w:r>
      <w:proofErr w:type="spellStart"/>
      <w:r w:rsidRPr="002F00CA">
        <w:t>Neolatinas</w:t>
      </w:r>
      <w:proofErr w:type="spellEnd"/>
      <w:r w:rsidRPr="002F00CA">
        <w:t xml:space="preserve"> da </w:t>
      </w:r>
      <w:proofErr w:type="spellStart"/>
      <w:r w:rsidRPr="002F00CA">
        <w:t>Universidade</w:t>
      </w:r>
      <w:proofErr w:type="spellEnd"/>
      <w:r w:rsidRPr="002F00CA">
        <w:t xml:space="preserve"> Federal do Rio de Janeiro, IV, April 2005.</w:t>
      </w:r>
    </w:p>
    <w:p w:rsidR="00136DD5" w:rsidRDefault="00136DD5" w:rsidP="003D1BFA">
      <w:pPr>
        <w:spacing w:line="360" w:lineRule="auto"/>
      </w:pPr>
    </w:p>
    <w:p w:rsidR="00136DD5" w:rsidRPr="00136DD5" w:rsidRDefault="00136DD5" w:rsidP="003D1BFA">
      <w:pPr>
        <w:spacing w:line="360" w:lineRule="auto"/>
      </w:pPr>
    </w:p>
    <w:p w:rsidR="00136DD5" w:rsidRPr="00AD0BF5" w:rsidRDefault="00136DD5" w:rsidP="003D1BFA">
      <w:pPr>
        <w:shd w:val="clear" w:color="auto" w:fill="FFFFFF"/>
        <w:spacing w:line="360" w:lineRule="auto"/>
        <w:rPr>
          <w:rFonts w:ascii="TimesNewRomanPSMT" w:hAnsi="TimesNewRomanPSMT"/>
          <w:color w:val="424242"/>
          <w:lang w:val="de-DE"/>
        </w:rPr>
      </w:pPr>
      <w:r w:rsidRPr="0082286D">
        <w:rPr>
          <w:rFonts w:ascii="TimesNewRomanPSMT" w:hAnsi="TimesNewRomanPSMT"/>
          <w:color w:val="424242"/>
        </w:rPr>
        <w:t>P</w:t>
      </w:r>
      <w:r>
        <w:rPr>
          <w:rFonts w:ascii="TimesNewRomanPSMT" w:hAnsi="TimesNewRomanPSMT"/>
          <w:color w:val="424242"/>
        </w:rPr>
        <w:t>eter</w:t>
      </w:r>
      <w:r w:rsidRPr="0082286D">
        <w:rPr>
          <w:rFonts w:ascii="TimesNewRomanPSMT" w:hAnsi="TimesNewRomanPSMT"/>
          <w:color w:val="424242"/>
        </w:rPr>
        <w:t xml:space="preserve"> U</w:t>
      </w:r>
      <w:r>
        <w:rPr>
          <w:rFonts w:ascii="TimesNewRomanPSMT" w:hAnsi="TimesNewRomanPSMT"/>
          <w:color w:val="424242"/>
        </w:rPr>
        <w:t>lf</w:t>
      </w:r>
      <w:r w:rsidRPr="0082286D">
        <w:rPr>
          <w:rFonts w:ascii="TimesNewRomanPSMT" w:hAnsi="TimesNewRomanPSMT"/>
          <w:color w:val="424242"/>
        </w:rPr>
        <w:t xml:space="preserve"> </w:t>
      </w:r>
      <w:proofErr w:type="spellStart"/>
      <w:r w:rsidRPr="0082286D">
        <w:rPr>
          <w:rFonts w:ascii="TimesNewRomanPSMT" w:hAnsi="TimesNewRomanPSMT"/>
          <w:color w:val="424242"/>
        </w:rPr>
        <w:t>Møller</w:t>
      </w:r>
      <w:proofErr w:type="spellEnd"/>
      <w:r w:rsidRPr="0082286D">
        <w:rPr>
          <w:rFonts w:ascii="TimesNewRomanPSMT" w:hAnsi="TimesNewRomanPSMT"/>
          <w:color w:val="424242"/>
        </w:rPr>
        <w:t xml:space="preserve">: Postlude to the Kreutzer Sonata. </w:t>
      </w:r>
      <w:proofErr w:type="spellStart"/>
      <w:r w:rsidRPr="0082286D">
        <w:rPr>
          <w:rFonts w:ascii="TimesNewRomanPSMT" w:hAnsi="TimesNewRomanPSMT"/>
          <w:color w:val="424242"/>
        </w:rPr>
        <w:t>T</w:t>
      </w:r>
      <w:r>
        <w:rPr>
          <w:rFonts w:ascii="TimesNewRomanPSMT" w:hAnsi="TimesNewRomanPSMT"/>
          <w:color w:val="424242"/>
        </w:rPr>
        <w:t>olstoj</w:t>
      </w:r>
      <w:proofErr w:type="spellEnd"/>
      <w:r w:rsidRPr="0082286D">
        <w:rPr>
          <w:rFonts w:ascii="TimesNewRomanPSMT" w:hAnsi="TimesNewRomanPSMT"/>
          <w:color w:val="424242"/>
        </w:rPr>
        <w:t xml:space="preserve"> and the Debate on Sexual Morality in Russian Literature in the 1890s</w:t>
      </w:r>
      <w:r>
        <w:rPr>
          <w:rFonts w:ascii="TimesNewRomanPSMT" w:hAnsi="TimesNewRomanPSMT"/>
          <w:color w:val="424242"/>
        </w:rPr>
        <w:t xml:space="preserve">. </w:t>
      </w:r>
      <w:r w:rsidRPr="00AD0BF5">
        <w:rPr>
          <w:rFonts w:ascii="TimesNewRomanPSMT" w:hAnsi="TimesNewRomanPSMT"/>
          <w:color w:val="424242"/>
          <w:lang w:val="de-DE"/>
        </w:rPr>
        <w:t xml:space="preserve">Leiden: Brill, 1988. </w:t>
      </w:r>
    </w:p>
    <w:p w:rsidR="00136DD5" w:rsidRPr="0082286D" w:rsidRDefault="00136DD5" w:rsidP="003D1BFA">
      <w:pPr>
        <w:pStyle w:val="NormalWeb"/>
        <w:shd w:val="clear" w:color="auto" w:fill="FFFFFF"/>
        <w:spacing w:before="0" w:beforeAutospacing="0" w:after="0" w:afterAutospacing="0" w:line="360" w:lineRule="auto"/>
        <w:rPr>
          <w:rFonts w:ascii="TimesNewRomanPSMT" w:hAnsi="TimesNewRomanPSMT"/>
          <w:color w:val="424242"/>
          <w:sz w:val="26"/>
          <w:szCs w:val="26"/>
          <w:lang w:val="de-DE"/>
        </w:rPr>
      </w:pPr>
      <w:r w:rsidRPr="0082286D">
        <w:rPr>
          <w:lang w:val="de-DE"/>
        </w:rPr>
        <w:t>Kindler Literatur Lexikon: “</w:t>
      </w:r>
      <w:proofErr w:type="spellStart"/>
      <w:r w:rsidRPr="0082286D">
        <w:rPr>
          <w:rFonts w:ascii="TimesNewRomanPSMT" w:hAnsi="TimesNewRomanPSMT"/>
          <w:color w:val="424242"/>
          <w:sz w:val="26"/>
          <w:szCs w:val="26"/>
          <w:lang w:val="de-DE"/>
        </w:rPr>
        <w:t>Demgegenüber</w:t>
      </w:r>
      <w:proofErr w:type="spellEnd"/>
      <w:r w:rsidRPr="0082286D">
        <w:rPr>
          <w:rFonts w:ascii="TimesNewRomanPSMT" w:hAnsi="TimesNewRomanPSMT"/>
          <w:color w:val="424242"/>
          <w:sz w:val="26"/>
          <w:szCs w:val="26"/>
          <w:lang w:val="de-DE"/>
        </w:rPr>
        <w:t xml:space="preserve"> predigt der Autor als erstrebenswertes, wenn auch zugegebenermaßen unerreichbares Ideal Enthaltsamkeit und Keuschheit, und mahnt, zur christlich-asketischen Tradition </w:t>
      </w:r>
      <w:proofErr w:type="spellStart"/>
      <w:r w:rsidRPr="0082286D">
        <w:rPr>
          <w:rFonts w:ascii="TimesNewRomanPSMT" w:hAnsi="TimesNewRomanPSMT"/>
          <w:color w:val="424242"/>
          <w:sz w:val="26"/>
          <w:szCs w:val="26"/>
          <w:lang w:val="de-DE"/>
        </w:rPr>
        <w:t>zurückzukehren</w:t>
      </w:r>
      <w:proofErr w:type="spellEnd"/>
      <w:r w:rsidRPr="0082286D">
        <w:rPr>
          <w:rFonts w:ascii="TimesNewRomanPSMT" w:hAnsi="TimesNewRomanPSMT"/>
          <w:color w:val="424242"/>
          <w:sz w:val="26"/>
          <w:szCs w:val="26"/>
          <w:lang w:val="de-DE"/>
        </w:rPr>
        <w:t xml:space="preserve">. Das christliche Ideal sei die Liebe zu Gott und dem </w:t>
      </w:r>
      <w:proofErr w:type="spellStart"/>
      <w:r w:rsidRPr="0082286D">
        <w:rPr>
          <w:rFonts w:ascii="TimesNewRomanPSMT" w:hAnsi="TimesNewRomanPSMT"/>
          <w:color w:val="424242"/>
          <w:sz w:val="26"/>
          <w:szCs w:val="26"/>
          <w:lang w:val="de-DE"/>
        </w:rPr>
        <w:t>Nächsten</w:t>
      </w:r>
      <w:proofErr w:type="spellEnd"/>
      <w:r w:rsidRPr="0082286D">
        <w:rPr>
          <w:rFonts w:ascii="TimesNewRomanPSMT" w:hAnsi="TimesNewRomanPSMT"/>
          <w:color w:val="424242"/>
          <w:sz w:val="26"/>
          <w:szCs w:val="26"/>
          <w:lang w:val="de-DE"/>
        </w:rPr>
        <w:t xml:space="preserve">, und diese Liebe sei mit der sinnlichen Liebe und der Ehe als Dienst an sich selbst nicht vereinbar und insofern vom christlichen Standpunkt eine </w:t>
      </w:r>
      <w:proofErr w:type="spellStart"/>
      <w:r w:rsidRPr="0082286D">
        <w:rPr>
          <w:rFonts w:ascii="TimesNewRomanPSMT" w:hAnsi="TimesNewRomanPSMT"/>
          <w:color w:val="424242"/>
          <w:sz w:val="26"/>
          <w:szCs w:val="26"/>
          <w:lang w:val="de-DE"/>
        </w:rPr>
        <w:t>Sünde</w:t>
      </w:r>
      <w:proofErr w:type="spellEnd"/>
      <w:r w:rsidRPr="0082286D">
        <w:rPr>
          <w:rFonts w:ascii="TimesNewRomanPSMT" w:hAnsi="TimesNewRomanPSMT"/>
          <w:color w:val="424242"/>
          <w:sz w:val="26"/>
          <w:szCs w:val="26"/>
          <w:lang w:val="de-DE"/>
        </w:rPr>
        <w:t xml:space="preserve">.” Wedel, Erwin / Schikowski, Ljudmila: Lev </w:t>
      </w:r>
      <w:proofErr w:type="spellStart"/>
      <w:r w:rsidRPr="0082286D">
        <w:rPr>
          <w:rFonts w:ascii="TimesNewRomanPSMT" w:hAnsi="TimesNewRomanPSMT"/>
          <w:color w:val="424242"/>
          <w:sz w:val="26"/>
          <w:szCs w:val="26"/>
          <w:lang w:val="de-DE"/>
        </w:rPr>
        <w:t>Nikolaevic</w:t>
      </w:r>
      <w:proofErr w:type="spellEnd"/>
      <w:r w:rsidRPr="0082286D">
        <w:rPr>
          <w:rFonts w:ascii="TimesNewRomanPSMT" w:hAnsi="TimesNewRomanPSMT"/>
          <w:color w:val="424242"/>
          <w:sz w:val="26"/>
          <w:szCs w:val="26"/>
          <w:lang w:val="de-DE"/>
        </w:rPr>
        <w:t xml:space="preserve">̌ </w:t>
      </w:r>
      <w:proofErr w:type="spellStart"/>
      <w:r w:rsidRPr="0082286D">
        <w:rPr>
          <w:rFonts w:ascii="TimesNewRomanPSMT" w:hAnsi="TimesNewRomanPSMT"/>
          <w:color w:val="424242"/>
          <w:sz w:val="26"/>
          <w:szCs w:val="26"/>
          <w:lang w:val="de-DE"/>
        </w:rPr>
        <w:t>Tolstoj</w:t>
      </w:r>
      <w:proofErr w:type="spellEnd"/>
      <w:r w:rsidRPr="0082286D">
        <w:rPr>
          <w:rFonts w:ascii="TimesNewRomanPSMT" w:hAnsi="TimesNewRomanPSMT"/>
          <w:color w:val="424242"/>
          <w:sz w:val="26"/>
          <w:szCs w:val="26"/>
          <w:lang w:val="de-DE"/>
        </w:rPr>
        <w:t xml:space="preserve"> – ›</w:t>
      </w:r>
      <w:proofErr w:type="spellStart"/>
      <w:r w:rsidRPr="0082286D">
        <w:rPr>
          <w:rFonts w:ascii="TimesNewRomanPSMT" w:hAnsi="TimesNewRomanPSMT"/>
          <w:color w:val="424242"/>
          <w:sz w:val="26"/>
          <w:szCs w:val="26"/>
          <w:lang w:val="de-DE"/>
        </w:rPr>
        <w:t>Krejcerova</w:t>
      </w:r>
      <w:proofErr w:type="spellEnd"/>
      <w:r w:rsidRPr="0082286D">
        <w:rPr>
          <w:rFonts w:ascii="TimesNewRomanPSMT" w:hAnsi="TimesNewRomanPSMT"/>
          <w:color w:val="424242"/>
          <w:sz w:val="26"/>
          <w:szCs w:val="26"/>
          <w:lang w:val="de-DE"/>
        </w:rPr>
        <w:t xml:space="preserve"> </w:t>
      </w:r>
      <w:proofErr w:type="spellStart"/>
      <w:r w:rsidRPr="0082286D">
        <w:rPr>
          <w:rFonts w:ascii="TimesNewRomanPSMT" w:hAnsi="TimesNewRomanPSMT"/>
          <w:color w:val="424242"/>
          <w:sz w:val="26"/>
          <w:szCs w:val="26"/>
          <w:lang w:val="de-DE"/>
        </w:rPr>
        <w:t>sonata</w:t>
      </w:r>
      <w:proofErr w:type="spellEnd"/>
      <w:r w:rsidRPr="0082286D">
        <w:rPr>
          <w:rFonts w:ascii="TimesNewRomanPSMT" w:hAnsi="TimesNewRomanPSMT"/>
          <w:color w:val="424242"/>
          <w:sz w:val="26"/>
          <w:szCs w:val="26"/>
          <w:lang w:val="de-DE"/>
        </w:rPr>
        <w:t xml:space="preserve">‹. In: Kindlers Literatur Lexikon. 3., </w:t>
      </w:r>
      <w:proofErr w:type="spellStart"/>
      <w:r w:rsidRPr="0082286D">
        <w:rPr>
          <w:rFonts w:ascii="TimesNewRomanPSMT" w:hAnsi="TimesNewRomanPSMT"/>
          <w:color w:val="424242"/>
          <w:sz w:val="26"/>
          <w:szCs w:val="26"/>
          <w:lang w:val="de-DE"/>
        </w:rPr>
        <w:t>völlig</w:t>
      </w:r>
      <w:proofErr w:type="spellEnd"/>
      <w:r w:rsidRPr="0082286D">
        <w:rPr>
          <w:rFonts w:ascii="TimesNewRomanPSMT" w:hAnsi="TimesNewRomanPSMT"/>
          <w:color w:val="424242"/>
          <w:sz w:val="26"/>
          <w:szCs w:val="26"/>
          <w:lang w:val="de-DE"/>
        </w:rPr>
        <w:t xml:space="preserve"> neu bearbeitete Auflage. Hrsg. von Heinz Ludwig Arnold. Stuttgart/Weimar: Verlag J.B. Metzler 2009. Zitiert nach: </w:t>
      </w:r>
      <w:r w:rsidRPr="0082286D">
        <w:rPr>
          <w:rFonts w:ascii="TimesNewRomanPSMT" w:hAnsi="TimesNewRomanPSMT"/>
          <w:color w:val="424242"/>
          <w:sz w:val="26"/>
          <w:szCs w:val="26"/>
          <w:lang w:val="de-DE"/>
        </w:rPr>
        <w:lastRenderedPageBreak/>
        <w:t>Kindlers Literatur Lexikon Online – Aktualisierungsdatenbank: www.kll-online.de (24.2.2020).</w:t>
      </w:r>
    </w:p>
    <w:p w:rsidR="00136DD5" w:rsidRDefault="00136DD5" w:rsidP="003D1BFA">
      <w:pPr>
        <w:spacing w:line="360" w:lineRule="auto"/>
        <w:rPr>
          <w:lang w:val="de-DE"/>
        </w:rPr>
      </w:pPr>
    </w:p>
    <w:p w:rsidR="00136DD5" w:rsidRPr="0082286D" w:rsidRDefault="00136DD5" w:rsidP="003D1BFA">
      <w:pPr>
        <w:spacing w:line="360" w:lineRule="auto"/>
        <w:rPr>
          <w:lang w:val="de-DE"/>
        </w:rPr>
      </w:pPr>
    </w:p>
    <w:p w:rsidR="00136DD5" w:rsidRDefault="00136DD5" w:rsidP="003D1BFA">
      <w:pPr>
        <w:spacing w:line="360" w:lineRule="auto"/>
        <w:rPr>
          <w:lang w:val="de-DE"/>
        </w:rPr>
      </w:pPr>
      <w:r w:rsidRPr="00ED0E69">
        <w:rPr>
          <w:lang w:val="de-DE"/>
        </w:rPr>
        <w:t xml:space="preserve">Leo Tolstoi: </w:t>
      </w:r>
      <w:proofErr w:type="spellStart"/>
      <w:r w:rsidRPr="00ED0E69">
        <w:rPr>
          <w:lang w:val="de-DE"/>
        </w:rPr>
        <w:t>Kreutzersonate</w:t>
      </w:r>
      <w:proofErr w:type="spellEnd"/>
      <w:r w:rsidRPr="00ED0E69">
        <w:rPr>
          <w:lang w:val="de-DE"/>
        </w:rPr>
        <w:t>. Übersetzt vom Bi</w:t>
      </w:r>
      <w:r>
        <w:rPr>
          <w:lang w:val="de-DE"/>
        </w:rPr>
        <w:t xml:space="preserve">bliographischen Bureau zu Berlin. Mit einer Einleitung von Raphael Löwenfeld. Vierte Auflage. Berlin: </w:t>
      </w:r>
      <w:proofErr w:type="spellStart"/>
      <w:r>
        <w:rPr>
          <w:lang w:val="de-DE"/>
        </w:rPr>
        <w:t>Behr’s</w:t>
      </w:r>
      <w:proofErr w:type="spellEnd"/>
      <w:r>
        <w:rPr>
          <w:lang w:val="de-DE"/>
        </w:rPr>
        <w:t xml:space="preserve"> Buchhandlung, 1890.</w:t>
      </w:r>
    </w:p>
    <w:p w:rsidR="001D1252" w:rsidRPr="00494F1C" w:rsidRDefault="001D1252" w:rsidP="003D1BFA">
      <w:pPr>
        <w:spacing w:line="360" w:lineRule="auto"/>
        <w:rPr>
          <w:lang w:val="de-DE"/>
        </w:rPr>
      </w:pPr>
    </w:p>
    <w:sectPr w:rsidR="001D1252" w:rsidRPr="00494F1C"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03F" w:rsidRDefault="00B2203F" w:rsidP="00D374BF">
      <w:r>
        <w:separator/>
      </w:r>
    </w:p>
  </w:endnote>
  <w:endnote w:type="continuationSeparator" w:id="0">
    <w:p w:rsidR="00B2203F" w:rsidRDefault="00B2203F" w:rsidP="00D3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pitch w:val="default"/>
  </w:font>
  <w:font w:name="Code2000">
    <w:altName w:val="Cambria"/>
    <w:panose1 w:val="020B06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03F" w:rsidRDefault="00B2203F" w:rsidP="00D374BF">
      <w:r>
        <w:separator/>
      </w:r>
    </w:p>
  </w:footnote>
  <w:footnote w:type="continuationSeparator" w:id="0">
    <w:p w:rsidR="00B2203F" w:rsidRDefault="00B2203F" w:rsidP="00D374BF">
      <w:r>
        <w:continuationSeparator/>
      </w:r>
    </w:p>
  </w:footnote>
  <w:footnote w:id="1">
    <w:p w:rsidR="009026D2" w:rsidRPr="00925DB3" w:rsidRDefault="009026D2" w:rsidP="00925DB3">
      <w:pPr>
        <w:rPr>
          <w:sz w:val="20"/>
          <w:szCs w:val="20"/>
          <w:lang w:val="de-DE"/>
        </w:rPr>
      </w:pPr>
      <w:r w:rsidRPr="00925DB3">
        <w:rPr>
          <w:rStyle w:val="FootnoteReference"/>
          <w:sz w:val="20"/>
          <w:szCs w:val="20"/>
        </w:rPr>
        <w:footnoteRef/>
      </w:r>
      <w:r w:rsidRPr="00925DB3">
        <w:rPr>
          <w:sz w:val="20"/>
          <w:szCs w:val="20"/>
          <w:lang w:val="de-DE"/>
        </w:rPr>
        <w:t xml:space="preserve"> Peter Handke: </w:t>
      </w:r>
      <w:r w:rsidRPr="00925DB3">
        <w:rPr>
          <w:i/>
          <w:sz w:val="20"/>
          <w:szCs w:val="20"/>
          <w:lang w:val="de-DE"/>
        </w:rPr>
        <w:t>Versuch über den geglückten Tag. Ein Wintertagtraum</w:t>
      </w:r>
      <w:r w:rsidRPr="00925DB3">
        <w:rPr>
          <w:sz w:val="20"/>
          <w:szCs w:val="20"/>
          <w:lang w:val="de-DE"/>
        </w:rPr>
        <w:t>. Frankfurt am Main: Suhrkamp, 1994, 73.</w:t>
      </w:r>
    </w:p>
  </w:footnote>
  <w:footnote w:id="2">
    <w:p w:rsidR="009026D2" w:rsidRPr="00925DB3" w:rsidRDefault="009026D2" w:rsidP="00925DB3">
      <w:pPr>
        <w:rPr>
          <w:sz w:val="20"/>
          <w:szCs w:val="20"/>
          <w:lang w:val="de-DE"/>
        </w:rPr>
      </w:pPr>
      <w:r w:rsidRPr="00925DB3">
        <w:rPr>
          <w:rStyle w:val="FootnoteReference"/>
          <w:sz w:val="20"/>
          <w:szCs w:val="20"/>
        </w:rPr>
        <w:footnoteRef/>
      </w:r>
      <w:r w:rsidRPr="00925DB3">
        <w:rPr>
          <w:sz w:val="20"/>
          <w:szCs w:val="20"/>
          <w:lang w:val="de-DE"/>
        </w:rPr>
        <w:t xml:space="preserve"> </w:t>
      </w:r>
      <w:proofErr w:type="spellStart"/>
      <w:r w:rsidRPr="00925DB3">
        <w:rPr>
          <w:sz w:val="20"/>
          <w:szCs w:val="20"/>
          <w:lang w:val="de-DE"/>
        </w:rPr>
        <w:t>Masanobu</w:t>
      </w:r>
      <w:proofErr w:type="spellEnd"/>
      <w:r w:rsidRPr="00925DB3">
        <w:rPr>
          <w:sz w:val="20"/>
          <w:szCs w:val="20"/>
          <w:lang w:val="de-DE"/>
        </w:rPr>
        <w:t xml:space="preserve"> Fukuoka: </w:t>
      </w:r>
      <w:r w:rsidRPr="00925DB3">
        <w:rPr>
          <w:i/>
          <w:sz w:val="20"/>
          <w:szCs w:val="20"/>
          <w:lang w:val="de-DE"/>
        </w:rPr>
        <w:t>Der große Weg hat kein Tor. Nahrung – Anbau – Leben</w:t>
      </w:r>
      <w:r w:rsidRPr="00925DB3">
        <w:rPr>
          <w:sz w:val="20"/>
          <w:szCs w:val="20"/>
          <w:lang w:val="de-DE"/>
        </w:rPr>
        <w:t xml:space="preserve">. Pala Verlag, </w:t>
      </w:r>
      <w:r w:rsidR="00634E37" w:rsidRPr="00925DB3">
        <w:rPr>
          <w:sz w:val="20"/>
          <w:szCs w:val="20"/>
          <w:lang w:val="de-DE"/>
        </w:rPr>
        <w:t xml:space="preserve">2019, </w:t>
      </w:r>
      <w:r w:rsidRPr="00925DB3">
        <w:rPr>
          <w:sz w:val="20"/>
          <w:szCs w:val="20"/>
          <w:lang w:val="de-DE"/>
        </w:rPr>
        <w:t xml:space="preserve">39. </w:t>
      </w:r>
    </w:p>
  </w:footnote>
  <w:footnote w:id="3">
    <w:p w:rsidR="00897300" w:rsidRPr="00897300" w:rsidRDefault="00897300">
      <w:pPr>
        <w:pStyle w:val="FootnoteText"/>
        <w:rPr>
          <w:lang w:val="de-DE"/>
        </w:rPr>
      </w:pPr>
      <w:r>
        <w:rPr>
          <w:rStyle w:val="FootnoteReference"/>
        </w:rPr>
        <w:footnoteRef/>
      </w:r>
      <w:r w:rsidRPr="00897300">
        <w:rPr>
          <w:lang w:val="de-DE"/>
        </w:rPr>
        <w:t xml:space="preserve"> </w:t>
      </w:r>
      <w:r w:rsidR="00494F1C">
        <w:rPr>
          <w:lang w:val="de-DE"/>
        </w:rPr>
        <w:t xml:space="preserve">Der erste Detektiv </w:t>
      </w:r>
      <w:r>
        <w:rPr>
          <w:lang w:val="de-DE"/>
        </w:rPr>
        <w:t>Justus Jonas</w:t>
      </w:r>
      <w:r w:rsidR="00494F1C">
        <w:rPr>
          <w:lang w:val="de-DE"/>
        </w:rPr>
        <w:t xml:space="preserve"> in dem Hörspiel</w:t>
      </w:r>
      <w:r>
        <w:rPr>
          <w:lang w:val="de-DE"/>
        </w:rPr>
        <w:t xml:space="preserve"> </w:t>
      </w:r>
      <w:r w:rsidRPr="00897300">
        <w:rPr>
          <w:i/>
          <w:lang w:val="de-DE"/>
        </w:rPr>
        <w:t>Die drei ??? und der Tornadojäger</w:t>
      </w:r>
      <w:r w:rsidR="00494F1C">
        <w:rPr>
          <w:lang w:val="de-DE"/>
        </w:rPr>
        <w:t xml:space="preserve">, 2017. </w:t>
      </w:r>
    </w:p>
  </w:footnote>
  <w:footnote w:id="4">
    <w:p w:rsidR="004F1EE8" w:rsidRPr="00F50FFB" w:rsidRDefault="004F1EE8" w:rsidP="004F1EE8">
      <w:pPr>
        <w:rPr>
          <w:b/>
          <w:lang w:val="de-DE"/>
        </w:rPr>
      </w:pPr>
      <w:r>
        <w:rPr>
          <w:rStyle w:val="FootnoteReference"/>
        </w:rPr>
        <w:footnoteRef/>
      </w:r>
      <w:r w:rsidRPr="00F50FFB">
        <w:rPr>
          <w:lang w:val="de-DE"/>
        </w:rPr>
        <w:t xml:space="preserve"> </w:t>
      </w:r>
      <w:r w:rsidRPr="00466D18">
        <w:rPr>
          <w:rFonts w:asciiTheme="minorHAnsi" w:eastAsiaTheme="minorHAnsi" w:hAnsiTheme="minorHAnsi" w:cstheme="minorBidi"/>
          <w:sz w:val="20"/>
          <w:szCs w:val="20"/>
          <w:lang w:val="de-DE"/>
        </w:rPr>
        <w:t xml:space="preserve">Bernhard von Clairvaux: Sämtliche Werke VIII. Predigten zum Kirchenjahr. Innsbruck: </w:t>
      </w:r>
      <w:proofErr w:type="spellStart"/>
      <w:r w:rsidRPr="00466D18">
        <w:rPr>
          <w:rFonts w:asciiTheme="minorHAnsi" w:eastAsiaTheme="minorHAnsi" w:hAnsiTheme="minorHAnsi" w:cstheme="minorBidi"/>
          <w:sz w:val="20"/>
          <w:szCs w:val="20"/>
          <w:lang w:val="de-DE"/>
        </w:rPr>
        <w:t>Tyrolia</w:t>
      </w:r>
      <w:proofErr w:type="spellEnd"/>
      <w:r w:rsidRPr="00466D18">
        <w:rPr>
          <w:rFonts w:asciiTheme="minorHAnsi" w:eastAsiaTheme="minorHAnsi" w:hAnsiTheme="minorHAnsi" w:cstheme="minorBidi"/>
          <w:sz w:val="20"/>
          <w:szCs w:val="20"/>
          <w:lang w:val="de-DE"/>
        </w:rPr>
        <w:t xml:space="preserve"> Verlag, 1997, “Zum Fest der Apostel Petrus und Paulus”, 447-473, hier: 451.</w:t>
      </w:r>
      <w:r>
        <w:rPr>
          <w:lang w:val="de-DE"/>
        </w:rPr>
        <w:t xml:space="preserve"> </w:t>
      </w:r>
    </w:p>
  </w:footnote>
  <w:footnote w:id="5">
    <w:p w:rsidR="000100BE" w:rsidRPr="000100BE" w:rsidRDefault="000100BE">
      <w:pPr>
        <w:pStyle w:val="FootnoteText"/>
        <w:rPr>
          <w:lang w:val="de-DE"/>
        </w:rPr>
      </w:pPr>
      <w:r>
        <w:rPr>
          <w:rStyle w:val="FootnoteReference"/>
        </w:rPr>
        <w:footnoteRef/>
      </w:r>
      <w:r w:rsidRPr="000100BE">
        <w:rPr>
          <w:lang w:val="de-DE"/>
        </w:rPr>
        <w:t xml:space="preserve"> </w:t>
      </w:r>
      <w:r>
        <w:rPr>
          <w:lang w:val="de-DE"/>
        </w:rPr>
        <w:t xml:space="preserve">Erstaunlicherweise gibt es zur Auseinandersetzung Zolas mit Tolstoi wenig Literatur. Einen guten Überblick liefert </w:t>
      </w:r>
    </w:p>
  </w:footnote>
  <w:footnote w:id="6">
    <w:p w:rsidR="00E1085E" w:rsidRPr="00925DB3" w:rsidRDefault="00E1085E" w:rsidP="00925DB3">
      <w:pPr>
        <w:rPr>
          <w:sz w:val="20"/>
          <w:szCs w:val="20"/>
          <w:lang w:val="de-DE"/>
        </w:rPr>
      </w:pPr>
      <w:r w:rsidRPr="00925DB3">
        <w:rPr>
          <w:rStyle w:val="FootnoteReference"/>
          <w:sz w:val="20"/>
          <w:szCs w:val="20"/>
        </w:rPr>
        <w:footnoteRef/>
      </w:r>
      <w:r w:rsidRPr="00925DB3">
        <w:rPr>
          <w:sz w:val="20"/>
          <w:szCs w:val="20"/>
          <w:lang w:val="de-DE"/>
        </w:rPr>
        <w:t xml:space="preserve"> Leo Tolstoi: </w:t>
      </w:r>
      <w:r w:rsidR="00494F1C" w:rsidRPr="00494F1C">
        <w:rPr>
          <w:i/>
          <w:sz w:val="20"/>
          <w:szCs w:val="20"/>
          <w:lang w:val="de-DE"/>
        </w:rPr>
        <w:t>Die</w:t>
      </w:r>
      <w:r w:rsidR="00494F1C">
        <w:rPr>
          <w:sz w:val="20"/>
          <w:szCs w:val="20"/>
          <w:lang w:val="de-DE"/>
        </w:rPr>
        <w:t xml:space="preserve"> </w:t>
      </w:r>
      <w:proofErr w:type="spellStart"/>
      <w:r w:rsidRPr="00925DB3">
        <w:rPr>
          <w:i/>
          <w:sz w:val="20"/>
          <w:szCs w:val="20"/>
          <w:lang w:val="de-DE"/>
        </w:rPr>
        <w:t>Kreutzersonate</w:t>
      </w:r>
      <w:proofErr w:type="spellEnd"/>
      <w:r w:rsidRPr="00925DB3">
        <w:rPr>
          <w:sz w:val="20"/>
          <w:szCs w:val="20"/>
          <w:lang w:val="de-DE"/>
        </w:rPr>
        <w:t xml:space="preserve">. Übersetzt vom Bibliographischen Bureau zu Berlin. Mit einer Einleitung von Raphael Löwenfeld. Vierte Auflage. Berlin: </w:t>
      </w:r>
      <w:proofErr w:type="spellStart"/>
      <w:r w:rsidRPr="00925DB3">
        <w:rPr>
          <w:sz w:val="20"/>
          <w:szCs w:val="20"/>
          <w:lang w:val="de-DE"/>
        </w:rPr>
        <w:t>Behr’s</w:t>
      </w:r>
      <w:proofErr w:type="spellEnd"/>
      <w:r w:rsidRPr="00925DB3">
        <w:rPr>
          <w:sz w:val="20"/>
          <w:szCs w:val="20"/>
          <w:lang w:val="de-DE"/>
        </w:rPr>
        <w:t xml:space="preserve"> Buchhandlung, 1890, 37.</w:t>
      </w:r>
    </w:p>
  </w:footnote>
  <w:footnote w:id="7">
    <w:p w:rsidR="002C2BF9" w:rsidRPr="00925DB3" w:rsidRDefault="002C2BF9" w:rsidP="00925DB3">
      <w:pPr>
        <w:rPr>
          <w:sz w:val="20"/>
          <w:szCs w:val="20"/>
        </w:rPr>
      </w:pPr>
      <w:r w:rsidRPr="00925DB3">
        <w:rPr>
          <w:rStyle w:val="FootnoteReference"/>
          <w:sz w:val="20"/>
          <w:szCs w:val="20"/>
        </w:rPr>
        <w:footnoteRef/>
      </w:r>
      <w:r w:rsidRPr="00925DB3">
        <w:rPr>
          <w:sz w:val="20"/>
          <w:szCs w:val="20"/>
        </w:rPr>
        <w:t xml:space="preserve"> </w:t>
      </w:r>
      <w:r w:rsidR="00634E37" w:rsidRPr="00925DB3">
        <w:rPr>
          <w:sz w:val="20"/>
          <w:szCs w:val="20"/>
        </w:rPr>
        <w:t>[</w:t>
      </w:r>
      <w:r w:rsidRPr="00925DB3">
        <w:rPr>
          <w:sz w:val="20"/>
          <w:szCs w:val="20"/>
        </w:rPr>
        <w:t>“The Kreutzer Sonata is a nightmare,” he said, “born of a diseased imagination. Since reading it I have not the slightest doubt that its author is cracked—</w:t>
      </w:r>
      <w:proofErr w:type="spellStart"/>
      <w:r w:rsidRPr="00925DB3">
        <w:rPr>
          <w:i/>
          <w:sz w:val="20"/>
          <w:szCs w:val="20"/>
        </w:rPr>
        <w:t>qu’il</w:t>
      </w:r>
      <w:proofErr w:type="spellEnd"/>
      <w:r w:rsidRPr="00925DB3">
        <w:rPr>
          <w:i/>
          <w:sz w:val="20"/>
          <w:szCs w:val="20"/>
        </w:rPr>
        <w:t xml:space="preserve"> y a </w:t>
      </w:r>
      <w:proofErr w:type="spellStart"/>
      <w:r w:rsidRPr="00925DB3">
        <w:rPr>
          <w:i/>
          <w:sz w:val="20"/>
          <w:szCs w:val="20"/>
        </w:rPr>
        <w:t>une</w:t>
      </w:r>
      <w:proofErr w:type="spellEnd"/>
      <w:r w:rsidRPr="00925DB3">
        <w:rPr>
          <w:i/>
          <w:sz w:val="20"/>
          <w:szCs w:val="20"/>
        </w:rPr>
        <w:t xml:space="preserve"> petite </w:t>
      </w:r>
      <w:proofErr w:type="spellStart"/>
      <w:r w:rsidRPr="00925DB3">
        <w:rPr>
          <w:i/>
          <w:sz w:val="20"/>
          <w:szCs w:val="20"/>
        </w:rPr>
        <w:t>fêlure</w:t>
      </w:r>
      <w:proofErr w:type="spellEnd"/>
      <w:r w:rsidRPr="00925DB3">
        <w:rPr>
          <w:i/>
          <w:sz w:val="20"/>
          <w:szCs w:val="20"/>
        </w:rPr>
        <w:t xml:space="preserve"> </w:t>
      </w:r>
      <w:proofErr w:type="spellStart"/>
      <w:r w:rsidRPr="00925DB3">
        <w:rPr>
          <w:i/>
          <w:sz w:val="20"/>
          <w:szCs w:val="20"/>
        </w:rPr>
        <w:t>dans</w:t>
      </w:r>
      <w:proofErr w:type="spellEnd"/>
      <w:r w:rsidRPr="00925DB3">
        <w:rPr>
          <w:i/>
          <w:sz w:val="20"/>
          <w:szCs w:val="20"/>
        </w:rPr>
        <w:t xml:space="preserve"> </w:t>
      </w:r>
      <w:proofErr w:type="spellStart"/>
      <w:r w:rsidRPr="00925DB3">
        <w:rPr>
          <w:i/>
          <w:sz w:val="20"/>
          <w:szCs w:val="20"/>
        </w:rPr>
        <w:t>sa</w:t>
      </w:r>
      <w:proofErr w:type="spellEnd"/>
      <w:r w:rsidRPr="00925DB3">
        <w:rPr>
          <w:i/>
          <w:sz w:val="20"/>
          <w:szCs w:val="20"/>
        </w:rPr>
        <w:t xml:space="preserve"> tête</w:t>
      </w:r>
      <w:r w:rsidRPr="00925DB3">
        <w:rPr>
          <w:sz w:val="20"/>
          <w:szCs w:val="20"/>
        </w:rPr>
        <w:t xml:space="preserve">. The theory developed in this book is anti-natural. </w:t>
      </w:r>
      <w:proofErr w:type="spellStart"/>
      <w:r w:rsidRPr="00925DB3">
        <w:rPr>
          <w:i/>
          <w:sz w:val="20"/>
          <w:szCs w:val="20"/>
        </w:rPr>
        <w:t>L’amour</w:t>
      </w:r>
      <w:proofErr w:type="spellEnd"/>
      <w:r w:rsidRPr="00925DB3">
        <w:rPr>
          <w:i/>
          <w:sz w:val="20"/>
          <w:szCs w:val="20"/>
        </w:rPr>
        <w:t xml:space="preserve">, </w:t>
      </w:r>
      <w:proofErr w:type="spellStart"/>
      <w:r w:rsidRPr="00925DB3">
        <w:rPr>
          <w:i/>
          <w:sz w:val="20"/>
          <w:szCs w:val="20"/>
        </w:rPr>
        <w:t>qu’est</w:t>
      </w:r>
      <w:proofErr w:type="spellEnd"/>
      <w:r w:rsidRPr="00925DB3">
        <w:rPr>
          <w:i/>
          <w:sz w:val="20"/>
          <w:szCs w:val="20"/>
        </w:rPr>
        <w:t xml:space="preserve"> </w:t>
      </w:r>
      <w:proofErr w:type="spellStart"/>
      <w:r w:rsidRPr="00925DB3">
        <w:rPr>
          <w:i/>
          <w:sz w:val="20"/>
          <w:szCs w:val="20"/>
        </w:rPr>
        <w:t>ce</w:t>
      </w:r>
      <w:proofErr w:type="spellEnd"/>
      <w:r w:rsidRPr="00925DB3">
        <w:rPr>
          <w:i/>
          <w:sz w:val="20"/>
          <w:szCs w:val="20"/>
        </w:rPr>
        <w:t xml:space="preserve"> que </w:t>
      </w:r>
      <w:proofErr w:type="spellStart"/>
      <w:r w:rsidRPr="00925DB3">
        <w:rPr>
          <w:i/>
          <w:sz w:val="20"/>
          <w:szCs w:val="20"/>
        </w:rPr>
        <w:t>c’est</w:t>
      </w:r>
      <w:proofErr w:type="spellEnd"/>
      <w:r w:rsidRPr="00925DB3">
        <w:rPr>
          <w:i/>
          <w:sz w:val="20"/>
          <w:szCs w:val="20"/>
        </w:rPr>
        <w:t xml:space="preserve">, que </w:t>
      </w:r>
      <w:proofErr w:type="spellStart"/>
      <w:r w:rsidRPr="00925DB3">
        <w:rPr>
          <w:i/>
          <w:sz w:val="20"/>
          <w:szCs w:val="20"/>
        </w:rPr>
        <w:t>ça</w:t>
      </w:r>
      <w:proofErr w:type="spellEnd"/>
      <w:r w:rsidRPr="00925DB3">
        <w:rPr>
          <w:i/>
          <w:sz w:val="20"/>
          <w:szCs w:val="20"/>
        </w:rPr>
        <w:t xml:space="preserve">? </w:t>
      </w:r>
      <w:r w:rsidRPr="00925DB3">
        <w:rPr>
          <w:sz w:val="20"/>
          <w:szCs w:val="20"/>
        </w:rPr>
        <w:t>Here is a man—there is a woman. It is Nature’s ordinance that they should seek one another, and you can no more hope to keep them apart by theorizing and philosophizing than you can hope to keep the wind from blowing or the tide from rising or the trees from budding in the springtime.”</w:t>
      </w:r>
      <w:r w:rsidR="00634E37" w:rsidRPr="00925DB3">
        <w:rPr>
          <w:sz w:val="20"/>
          <w:szCs w:val="20"/>
        </w:rPr>
        <w:t>]</w:t>
      </w:r>
      <w:r w:rsidRPr="00925DB3">
        <w:rPr>
          <w:sz w:val="20"/>
          <w:szCs w:val="20"/>
        </w:rPr>
        <w:t xml:space="preserve"> </w:t>
      </w:r>
      <w:r w:rsidR="00494F1C">
        <w:rPr>
          <w:sz w:val="20"/>
          <w:szCs w:val="20"/>
        </w:rPr>
        <w:t>“</w:t>
      </w:r>
      <w:r w:rsidRPr="00925DB3">
        <w:rPr>
          <w:sz w:val="20"/>
          <w:szCs w:val="20"/>
        </w:rPr>
        <w:t xml:space="preserve">Zola defines Count </w:t>
      </w:r>
      <w:proofErr w:type="spellStart"/>
      <w:r w:rsidRPr="00925DB3">
        <w:rPr>
          <w:sz w:val="20"/>
          <w:szCs w:val="20"/>
        </w:rPr>
        <w:t>Tolstoi</w:t>
      </w:r>
      <w:proofErr w:type="spellEnd"/>
      <w:r w:rsidR="00494F1C">
        <w:rPr>
          <w:sz w:val="20"/>
          <w:szCs w:val="20"/>
        </w:rPr>
        <w:t>”, i</w:t>
      </w:r>
      <w:r w:rsidRPr="00925DB3">
        <w:rPr>
          <w:sz w:val="20"/>
          <w:szCs w:val="20"/>
        </w:rPr>
        <w:t xml:space="preserve">n: </w:t>
      </w:r>
      <w:r w:rsidRPr="00925DB3">
        <w:rPr>
          <w:i/>
          <w:sz w:val="20"/>
          <w:szCs w:val="20"/>
        </w:rPr>
        <w:t>New York Herald</w:t>
      </w:r>
      <w:r w:rsidRPr="00925DB3">
        <w:rPr>
          <w:sz w:val="20"/>
          <w:szCs w:val="20"/>
        </w:rPr>
        <w:t xml:space="preserve">, </w:t>
      </w:r>
      <w:r w:rsidR="00494F1C">
        <w:rPr>
          <w:sz w:val="20"/>
          <w:szCs w:val="20"/>
        </w:rPr>
        <w:t>24. August</w:t>
      </w:r>
      <w:r w:rsidRPr="00925DB3">
        <w:rPr>
          <w:sz w:val="20"/>
          <w:szCs w:val="20"/>
        </w:rPr>
        <w:t xml:space="preserve"> 1890.</w:t>
      </w:r>
    </w:p>
  </w:footnote>
  <w:footnote w:id="8">
    <w:p w:rsidR="002C2BF9" w:rsidRPr="00925DB3" w:rsidRDefault="002C2BF9" w:rsidP="00925DB3">
      <w:pPr>
        <w:rPr>
          <w:sz w:val="20"/>
          <w:szCs w:val="20"/>
        </w:rPr>
      </w:pPr>
      <w:r w:rsidRPr="00925DB3">
        <w:rPr>
          <w:rStyle w:val="FootnoteReference"/>
          <w:sz w:val="20"/>
          <w:szCs w:val="20"/>
        </w:rPr>
        <w:footnoteRef/>
      </w:r>
      <w:r w:rsidRPr="00925DB3">
        <w:rPr>
          <w:sz w:val="20"/>
          <w:szCs w:val="20"/>
        </w:rPr>
        <w:t xml:space="preserve"> Hannah Lynch: Zola vs. </w:t>
      </w:r>
      <w:proofErr w:type="spellStart"/>
      <w:r w:rsidRPr="00925DB3">
        <w:rPr>
          <w:sz w:val="20"/>
          <w:szCs w:val="20"/>
        </w:rPr>
        <w:t>Tolstoi</w:t>
      </w:r>
      <w:proofErr w:type="spellEnd"/>
      <w:r w:rsidRPr="00925DB3">
        <w:rPr>
          <w:sz w:val="20"/>
          <w:szCs w:val="20"/>
        </w:rPr>
        <w:t xml:space="preserve">: or, “Fecundity” vs. “The Kreutzer Sonata”. New York: Tucker Publishing Co., 1900. </w:t>
      </w:r>
    </w:p>
  </w:footnote>
  <w:footnote w:id="9">
    <w:p w:rsidR="00513B55" w:rsidRPr="00CF3D93" w:rsidRDefault="00513B55" w:rsidP="00925DB3">
      <w:pPr>
        <w:pStyle w:val="FootnoteText"/>
        <w:rPr>
          <w:lang w:val="de-DE"/>
        </w:rPr>
      </w:pPr>
      <w:r w:rsidRPr="00925DB3">
        <w:rPr>
          <w:rStyle w:val="FootnoteReference"/>
        </w:rPr>
        <w:footnoteRef/>
      </w:r>
      <w:r w:rsidR="00CF3D93">
        <w:rPr>
          <w:lang w:val="en-CA"/>
        </w:rPr>
        <w:t xml:space="preserve"> </w:t>
      </w:r>
      <w:r w:rsidR="00494F1C">
        <w:rPr>
          <w:lang w:val="en-CA"/>
        </w:rPr>
        <w:t>[</w:t>
      </w:r>
      <w:r w:rsidRPr="00925DB3">
        <w:t xml:space="preserve">“La </w:t>
      </w:r>
      <w:proofErr w:type="spellStart"/>
      <w:r w:rsidRPr="00925DB3">
        <w:t>chastet</w:t>
      </w:r>
      <w:r w:rsidRPr="00925DB3">
        <w:rPr>
          <w:rFonts w:ascii="Calibri" w:hAnsi="Calibri" w:cs="Calibri"/>
        </w:rPr>
        <w:t>é</w:t>
      </w:r>
      <w:proofErr w:type="spellEnd"/>
      <w:r w:rsidRPr="00925DB3">
        <w:rPr>
          <w:rFonts w:ascii="Calibri" w:hAnsi="Calibri" w:cs="Calibri"/>
        </w:rPr>
        <w:t xml:space="preserve"> chez </w:t>
      </w:r>
      <w:proofErr w:type="spellStart"/>
      <w:r w:rsidRPr="00925DB3">
        <w:rPr>
          <w:rFonts w:ascii="Calibri" w:hAnsi="Calibri" w:cs="Calibri"/>
        </w:rPr>
        <w:t>l’homme</w:t>
      </w:r>
      <w:proofErr w:type="spellEnd"/>
      <w:r w:rsidRPr="00925DB3">
        <w:rPr>
          <w:rFonts w:ascii="Calibri" w:hAnsi="Calibri" w:cs="Calibri"/>
        </w:rPr>
        <w:t xml:space="preserve">? … Certes … </w:t>
      </w:r>
      <w:proofErr w:type="spellStart"/>
      <w:r w:rsidRPr="00925DB3">
        <w:rPr>
          <w:rFonts w:ascii="Calibri" w:hAnsi="Calibri" w:cs="Calibri"/>
        </w:rPr>
        <w:t>je</w:t>
      </w:r>
      <w:proofErr w:type="spellEnd"/>
      <w:r w:rsidRPr="00925DB3">
        <w:rPr>
          <w:rFonts w:ascii="Calibri" w:hAnsi="Calibri" w:cs="Calibri"/>
        </w:rPr>
        <w:t xml:space="preserve"> </w:t>
      </w:r>
      <w:proofErr w:type="spellStart"/>
      <w:r w:rsidRPr="00925DB3">
        <w:rPr>
          <w:rFonts w:ascii="Calibri" w:hAnsi="Calibri" w:cs="Calibri"/>
        </w:rPr>
        <w:t>suis</w:t>
      </w:r>
      <w:proofErr w:type="spellEnd"/>
      <w:r w:rsidRPr="00925DB3">
        <w:rPr>
          <w:rFonts w:ascii="Calibri" w:hAnsi="Calibri" w:cs="Calibri"/>
        </w:rPr>
        <w:t xml:space="preserve"> pour la moderation et la </w:t>
      </w:r>
      <w:proofErr w:type="spellStart"/>
      <w:r w:rsidRPr="00925DB3">
        <w:rPr>
          <w:rFonts w:ascii="Calibri" w:hAnsi="Calibri" w:cs="Calibri"/>
        </w:rPr>
        <w:t>débauche</w:t>
      </w:r>
      <w:proofErr w:type="spellEnd"/>
      <w:r w:rsidRPr="00925DB3">
        <w:rPr>
          <w:rFonts w:ascii="Calibri" w:hAnsi="Calibri" w:cs="Calibri"/>
        </w:rPr>
        <w:t xml:space="preserve"> </w:t>
      </w:r>
      <w:proofErr w:type="spellStart"/>
      <w:r w:rsidRPr="00925DB3">
        <w:rPr>
          <w:rFonts w:ascii="Calibri" w:hAnsi="Calibri" w:cs="Calibri"/>
        </w:rPr>
        <w:t>est</w:t>
      </w:r>
      <w:proofErr w:type="spellEnd"/>
      <w:r w:rsidRPr="00925DB3">
        <w:rPr>
          <w:rFonts w:ascii="Calibri" w:hAnsi="Calibri" w:cs="Calibri"/>
        </w:rPr>
        <w:t xml:space="preserve"> condemnable, </w:t>
      </w:r>
      <w:proofErr w:type="spellStart"/>
      <w:r w:rsidRPr="00925DB3">
        <w:rPr>
          <w:rFonts w:ascii="Calibri" w:hAnsi="Calibri" w:cs="Calibri"/>
        </w:rPr>
        <w:t>mais</w:t>
      </w:r>
      <w:proofErr w:type="spellEnd"/>
      <w:r w:rsidRPr="00925DB3">
        <w:rPr>
          <w:rFonts w:ascii="Calibri" w:hAnsi="Calibri" w:cs="Calibri"/>
        </w:rPr>
        <w:t xml:space="preserve"> le </w:t>
      </w:r>
      <w:proofErr w:type="spellStart"/>
      <w:r w:rsidRPr="00925DB3">
        <w:rPr>
          <w:rFonts w:ascii="Calibri" w:hAnsi="Calibri" w:cs="Calibri"/>
        </w:rPr>
        <w:t>désir</w:t>
      </w:r>
      <w:proofErr w:type="spellEnd"/>
      <w:r w:rsidRPr="00925DB3">
        <w:rPr>
          <w:rFonts w:ascii="Calibri" w:hAnsi="Calibri" w:cs="Calibri"/>
        </w:rPr>
        <w:t xml:space="preserve"> </w:t>
      </w:r>
      <w:proofErr w:type="spellStart"/>
      <w:r w:rsidRPr="00925DB3">
        <w:rPr>
          <w:rFonts w:ascii="Calibri" w:hAnsi="Calibri" w:cs="Calibri"/>
        </w:rPr>
        <w:t>est</w:t>
      </w:r>
      <w:proofErr w:type="spellEnd"/>
      <w:r w:rsidRPr="00925DB3">
        <w:rPr>
          <w:rFonts w:ascii="Calibri" w:hAnsi="Calibri" w:cs="Calibri"/>
        </w:rPr>
        <w:t xml:space="preserve"> latent … </w:t>
      </w:r>
      <w:proofErr w:type="spellStart"/>
      <w:r w:rsidRPr="00925DB3">
        <w:rPr>
          <w:rFonts w:ascii="Calibri" w:hAnsi="Calibri" w:cs="Calibri"/>
        </w:rPr>
        <w:t>C’est</w:t>
      </w:r>
      <w:proofErr w:type="spellEnd"/>
      <w:r w:rsidRPr="00925DB3">
        <w:rPr>
          <w:rFonts w:ascii="Calibri" w:hAnsi="Calibri" w:cs="Calibri"/>
        </w:rPr>
        <w:t xml:space="preserve"> le </w:t>
      </w:r>
      <w:proofErr w:type="spellStart"/>
      <w:r w:rsidRPr="00925DB3">
        <w:rPr>
          <w:rFonts w:ascii="Calibri" w:hAnsi="Calibri" w:cs="Calibri"/>
        </w:rPr>
        <w:t>désir</w:t>
      </w:r>
      <w:proofErr w:type="spellEnd"/>
      <w:r w:rsidRPr="00925DB3">
        <w:rPr>
          <w:rFonts w:ascii="Calibri" w:hAnsi="Calibri" w:cs="Calibri"/>
        </w:rPr>
        <w:t xml:space="preserve"> qui </w:t>
      </w:r>
      <w:proofErr w:type="spellStart"/>
      <w:r w:rsidRPr="00925DB3">
        <w:rPr>
          <w:rFonts w:ascii="Calibri" w:hAnsi="Calibri" w:cs="Calibri"/>
        </w:rPr>
        <w:t>soulève</w:t>
      </w:r>
      <w:proofErr w:type="spellEnd"/>
      <w:r w:rsidRPr="00925DB3">
        <w:rPr>
          <w:rFonts w:ascii="Calibri" w:hAnsi="Calibri" w:cs="Calibri"/>
        </w:rPr>
        <w:t xml:space="preserve"> le monde, qui </w:t>
      </w:r>
      <w:proofErr w:type="spellStart"/>
      <w:r w:rsidRPr="00925DB3">
        <w:rPr>
          <w:rFonts w:ascii="Calibri" w:hAnsi="Calibri" w:cs="Calibri"/>
        </w:rPr>
        <w:t>enfante</w:t>
      </w:r>
      <w:proofErr w:type="spellEnd"/>
      <w:r w:rsidRPr="00925DB3">
        <w:rPr>
          <w:rFonts w:ascii="Calibri" w:hAnsi="Calibri" w:cs="Calibri"/>
        </w:rPr>
        <w:t xml:space="preserve"> … […] Tout le </w:t>
      </w:r>
      <w:proofErr w:type="spellStart"/>
      <w:r w:rsidRPr="00925DB3">
        <w:rPr>
          <w:rFonts w:ascii="Calibri" w:hAnsi="Calibri" w:cs="Calibri"/>
        </w:rPr>
        <w:t>reste</w:t>
      </w:r>
      <w:proofErr w:type="spellEnd"/>
      <w:r w:rsidRPr="00925DB3">
        <w:rPr>
          <w:rFonts w:ascii="Calibri" w:hAnsi="Calibri" w:cs="Calibri"/>
        </w:rPr>
        <w:t xml:space="preserve"> </w:t>
      </w:r>
      <w:proofErr w:type="spellStart"/>
      <w:r w:rsidRPr="00925DB3">
        <w:rPr>
          <w:rFonts w:ascii="Calibri" w:hAnsi="Calibri" w:cs="Calibri"/>
        </w:rPr>
        <w:t>n’est</w:t>
      </w:r>
      <w:proofErr w:type="spellEnd"/>
      <w:r w:rsidRPr="00925DB3">
        <w:rPr>
          <w:rFonts w:ascii="Calibri" w:hAnsi="Calibri" w:cs="Calibri"/>
        </w:rPr>
        <w:t xml:space="preserve"> que mysticism, </w:t>
      </w:r>
      <w:proofErr w:type="spellStart"/>
      <w:r w:rsidRPr="00925DB3">
        <w:rPr>
          <w:rFonts w:ascii="Calibri" w:hAnsi="Calibri" w:cs="Calibri"/>
        </w:rPr>
        <w:t>fumées</w:t>
      </w:r>
      <w:proofErr w:type="spellEnd"/>
      <w:r w:rsidRPr="00925DB3">
        <w:rPr>
          <w:rFonts w:ascii="Calibri" w:hAnsi="Calibri" w:cs="Calibri"/>
        </w:rPr>
        <w:t xml:space="preserve"> du </w:t>
      </w:r>
      <w:proofErr w:type="spellStart"/>
      <w:r w:rsidRPr="00925DB3">
        <w:rPr>
          <w:rFonts w:ascii="Calibri" w:hAnsi="Calibri" w:cs="Calibri"/>
        </w:rPr>
        <w:t>cerveau</w:t>
      </w:r>
      <w:proofErr w:type="spellEnd"/>
      <w:r w:rsidRPr="00925DB3">
        <w:rPr>
          <w:rFonts w:ascii="Calibri" w:hAnsi="Calibri" w:cs="Calibri"/>
        </w:rPr>
        <w:t xml:space="preserve"> … </w:t>
      </w:r>
      <w:proofErr w:type="spellStart"/>
      <w:r w:rsidRPr="00925DB3">
        <w:rPr>
          <w:rFonts w:ascii="Calibri" w:hAnsi="Calibri" w:cs="Calibri"/>
        </w:rPr>
        <w:t>rêve</w:t>
      </w:r>
      <w:proofErr w:type="spellEnd"/>
      <w:r w:rsidRPr="00925DB3">
        <w:rPr>
          <w:rFonts w:ascii="Calibri" w:hAnsi="Calibri" w:cs="Calibri"/>
        </w:rPr>
        <w:t xml:space="preserve"> et </w:t>
      </w:r>
      <w:proofErr w:type="spellStart"/>
      <w:r w:rsidRPr="00925DB3">
        <w:rPr>
          <w:rFonts w:ascii="Calibri" w:hAnsi="Calibri" w:cs="Calibri"/>
        </w:rPr>
        <w:t>tracasseries</w:t>
      </w:r>
      <w:proofErr w:type="spellEnd"/>
      <w:r w:rsidRPr="00925DB3">
        <w:rPr>
          <w:rFonts w:ascii="Calibri" w:hAnsi="Calibri" w:cs="Calibri"/>
        </w:rPr>
        <w:t>.”</w:t>
      </w:r>
      <w:r w:rsidR="00494F1C">
        <w:rPr>
          <w:rFonts w:ascii="Calibri" w:hAnsi="Calibri" w:cs="Calibri"/>
        </w:rPr>
        <w:t>]</w:t>
      </w:r>
      <w:r w:rsidRPr="00925DB3">
        <w:rPr>
          <w:rFonts w:ascii="Calibri" w:hAnsi="Calibri" w:cs="Calibri"/>
        </w:rPr>
        <w:t xml:space="preserve"> </w:t>
      </w:r>
      <w:r w:rsidRPr="00CF3D93">
        <w:rPr>
          <w:lang w:val="de-DE"/>
        </w:rPr>
        <w:t>Dan L</w:t>
      </w:r>
      <w:r w:rsidRPr="00CF3D93">
        <w:rPr>
          <w:rFonts w:ascii="Calibri" w:hAnsi="Calibri" w:cs="Calibri"/>
          <w:lang w:val="de-DE"/>
        </w:rPr>
        <w:t>é</w:t>
      </w:r>
      <w:r w:rsidRPr="00CF3D93">
        <w:rPr>
          <w:lang w:val="de-DE"/>
        </w:rPr>
        <w:t xml:space="preserve">on, Edgar </w:t>
      </w:r>
      <w:proofErr w:type="spellStart"/>
      <w:r w:rsidRPr="00CF3D93">
        <w:rPr>
          <w:lang w:val="de-DE"/>
        </w:rPr>
        <w:t>J</w:t>
      </w:r>
      <w:r w:rsidRPr="00CF3D93">
        <w:rPr>
          <w:rFonts w:ascii="Calibri" w:hAnsi="Calibri" w:cs="Calibri"/>
          <w:lang w:val="de-DE"/>
        </w:rPr>
        <w:t>égut</w:t>
      </w:r>
      <w:proofErr w:type="spellEnd"/>
      <w:r w:rsidRPr="00CF3D93">
        <w:rPr>
          <w:rFonts w:ascii="Calibri" w:hAnsi="Calibri" w:cs="Calibri"/>
          <w:lang w:val="de-DE"/>
        </w:rPr>
        <w:t xml:space="preserve">: </w:t>
      </w:r>
      <w:r w:rsidR="00494F1C" w:rsidRPr="00CF3D93">
        <w:rPr>
          <w:rFonts w:ascii="Calibri" w:hAnsi="Calibri" w:cs="Calibri"/>
          <w:lang w:val="de-DE"/>
        </w:rPr>
        <w:t>“</w:t>
      </w:r>
      <w:r w:rsidRPr="00CF3D93">
        <w:rPr>
          <w:rFonts w:ascii="Calibri" w:hAnsi="Calibri" w:cs="Calibri"/>
          <w:lang w:val="de-DE"/>
        </w:rPr>
        <w:t>De M. Émile Zola</w:t>
      </w:r>
      <w:r w:rsidR="00494F1C" w:rsidRPr="00CF3D93">
        <w:rPr>
          <w:rFonts w:ascii="Calibri" w:hAnsi="Calibri" w:cs="Calibri"/>
          <w:lang w:val="de-DE"/>
        </w:rPr>
        <w:t>”, i</w:t>
      </w:r>
      <w:r w:rsidRPr="00CF3D93">
        <w:rPr>
          <w:rFonts w:ascii="Calibri" w:hAnsi="Calibri" w:cs="Calibri"/>
          <w:lang w:val="de-DE"/>
        </w:rPr>
        <w:t xml:space="preserve">n: </w:t>
      </w:r>
      <w:r w:rsidRPr="00CF3D93">
        <w:rPr>
          <w:rFonts w:ascii="Calibri" w:hAnsi="Calibri" w:cs="Calibri"/>
          <w:i/>
          <w:lang w:val="de-DE"/>
        </w:rPr>
        <w:t>La Revue Blanche</w:t>
      </w:r>
      <w:r w:rsidRPr="00CF3D93">
        <w:rPr>
          <w:rFonts w:ascii="Calibri" w:hAnsi="Calibri" w:cs="Calibri"/>
          <w:lang w:val="de-DE"/>
        </w:rPr>
        <w:t>, XXVIII, Januar – April 1902, 381-382</w:t>
      </w:r>
      <w:r w:rsidR="00CF3D93" w:rsidRPr="00CF3D93">
        <w:rPr>
          <w:rFonts w:ascii="Calibri" w:hAnsi="Calibri" w:cs="Calibri"/>
          <w:lang w:val="de-DE"/>
        </w:rPr>
        <w:t>, hier:</w:t>
      </w:r>
      <w:r w:rsidRPr="00CF3D93">
        <w:rPr>
          <w:rFonts w:ascii="Calibri" w:hAnsi="Calibri" w:cs="Calibri"/>
          <w:lang w:val="de-DE"/>
        </w:rPr>
        <w:t xml:space="preserve"> 381</w:t>
      </w:r>
      <w:r w:rsidR="00CF3D93" w:rsidRPr="00CF3D93">
        <w:rPr>
          <w:rFonts w:ascii="Calibri" w:hAnsi="Calibri" w:cs="Calibri"/>
          <w:lang w:val="de-DE"/>
        </w:rPr>
        <w:t>.</w:t>
      </w:r>
    </w:p>
  </w:footnote>
  <w:footnote w:id="10">
    <w:p w:rsidR="001A6B4E" w:rsidRPr="00CF3D93" w:rsidRDefault="001A6B4E" w:rsidP="00925DB3">
      <w:pPr>
        <w:pStyle w:val="FootnoteText"/>
        <w:rPr>
          <w:lang w:val="de-DE"/>
        </w:rPr>
      </w:pPr>
      <w:r w:rsidRPr="00925DB3">
        <w:rPr>
          <w:rStyle w:val="FootnoteReference"/>
        </w:rPr>
        <w:footnoteRef/>
      </w:r>
      <w:r w:rsidRPr="00CF3D93">
        <w:rPr>
          <w:lang w:val="de-DE"/>
        </w:rPr>
        <w:t xml:space="preserve"> Ebd.</w:t>
      </w:r>
    </w:p>
  </w:footnote>
  <w:footnote w:id="11">
    <w:p w:rsidR="002C2BF9" w:rsidRPr="00925DB3" w:rsidRDefault="002C2BF9" w:rsidP="00925DB3">
      <w:pPr>
        <w:pStyle w:val="FootnoteText"/>
        <w:rPr>
          <w:lang w:val="de-DE"/>
        </w:rPr>
      </w:pPr>
      <w:r w:rsidRPr="00925DB3">
        <w:rPr>
          <w:rStyle w:val="FootnoteReference"/>
        </w:rPr>
        <w:footnoteRef/>
      </w:r>
      <w:r w:rsidRPr="00925DB3">
        <w:rPr>
          <w:lang w:val="en-CA"/>
        </w:rPr>
        <w:t xml:space="preserve"> </w:t>
      </w:r>
      <w:r w:rsidR="00CF3D93">
        <w:rPr>
          <w:lang w:val="en-CA"/>
        </w:rPr>
        <w:t>[</w:t>
      </w:r>
      <w:r w:rsidR="00513B55" w:rsidRPr="00925DB3">
        <w:t xml:space="preserve">“le </w:t>
      </w:r>
      <w:proofErr w:type="spellStart"/>
      <w:r w:rsidR="00513B55" w:rsidRPr="00925DB3">
        <w:t>Russe</w:t>
      </w:r>
      <w:proofErr w:type="spellEnd"/>
      <w:r w:rsidR="00513B55" w:rsidRPr="00925DB3">
        <w:t xml:space="preserve"> mystique </w:t>
      </w:r>
      <w:proofErr w:type="spellStart"/>
      <w:r w:rsidR="00513B55" w:rsidRPr="00925DB3">
        <w:t>lorsque</w:t>
      </w:r>
      <w:proofErr w:type="spellEnd"/>
      <w:r w:rsidR="00513B55" w:rsidRPr="00925DB3">
        <w:t xml:space="preserve">, </w:t>
      </w:r>
      <w:proofErr w:type="spellStart"/>
      <w:r w:rsidR="00513B55" w:rsidRPr="00925DB3">
        <w:t>dans</w:t>
      </w:r>
      <w:proofErr w:type="spellEnd"/>
      <w:r w:rsidR="00513B55" w:rsidRPr="00925DB3">
        <w:t xml:space="preserve"> </w:t>
      </w:r>
      <w:proofErr w:type="spellStart"/>
      <w:r w:rsidR="00513B55" w:rsidRPr="00925DB3">
        <w:t>ses</w:t>
      </w:r>
      <w:proofErr w:type="spellEnd"/>
      <w:r w:rsidR="00513B55" w:rsidRPr="00925DB3">
        <w:t xml:space="preserve"> brochures </w:t>
      </w:r>
      <w:proofErr w:type="spellStart"/>
      <w:r w:rsidR="00513B55" w:rsidRPr="00925DB3">
        <w:t>incertaines</w:t>
      </w:r>
      <w:proofErr w:type="spellEnd"/>
      <w:r w:rsidR="00513B55" w:rsidRPr="00925DB3">
        <w:t xml:space="preserve">, </w:t>
      </w:r>
      <w:proofErr w:type="spellStart"/>
      <w:r w:rsidR="00513B55" w:rsidRPr="00925DB3">
        <w:t>il</w:t>
      </w:r>
      <w:proofErr w:type="spellEnd"/>
      <w:r w:rsidR="00513B55" w:rsidRPr="00925DB3">
        <w:t xml:space="preserve"> </w:t>
      </w:r>
      <w:proofErr w:type="spellStart"/>
      <w:r w:rsidR="00513B55" w:rsidRPr="00925DB3">
        <w:t>veut</w:t>
      </w:r>
      <w:proofErr w:type="spellEnd"/>
      <w:r w:rsidR="00513B55" w:rsidRPr="00925DB3">
        <w:t xml:space="preserve"> dire </w:t>
      </w:r>
      <w:proofErr w:type="spellStart"/>
      <w:r w:rsidR="00513B55" w:rsidRPr="00925DB3">
        <w:t>ses</w:t>
      </w:r>
      <w:proofErr w:type="spellEnd"/>
      <w:r w:rsidR="00513B55" w:rsidRPr="00925DB3">
        <w:t xml:space="preserve"> </w:t>
      </w:r>
      <w:proofErr w:type="spellStart"/>
      <w:r w:rsidR="00513B55" w:rsidRPr="00925DB3">
        <w:rPr>
          <w:rFonts w:ascii="Calibri" w:hAnsi="Calibri" w:cs="Calibri"/>
        </w:rPr>
        <w:t>rêves</w:t>
      </w:r>
      <w:proofErr w:type="spellEnd"/>
      <w:r w:rsidR="00513B55" w:rsidRPr="00925DB3">
        <w:rPr>
          <w:rFonts w:ascii="Calibri" w:hAnsi="Calibri" w:cs="Calibri"/>
        </w:rPr>
        <w:t xml:space="preserve"> </w:t>
      </w:r>
      <w:proofErr w:type="spellStart"/>
      <w:r w:rsidR="00513B55" w:rsidRPr="00925DB3">
        <w:rPr>
          <w:rFonts w:ascii="Calibri" w:hAnsi="Calibri" w:cs="Calibri"/>
        </w:rPr>
        <w:t>imprécis</w:t>
      </w:r>
      <w:proofErr w:type="spellEnd"/>
      <w:r w:rsidR="00513B55" w:rsidRPr="00925DB3">
        <w:rPr>
          <w:rFonts w:ascii="Calibri" w:hAnsi="Calibri" w:cs="Calibri"/>
        </w:rPr>
        <w:t>…”</w:t>
      </w:r>
      <w:r w:rsidR="00CF3D93">
        <w:rPr>
          <w:rFonts w:ascii="Calibri" w:hAnsi="Calibri" w:cs="Calibri"/>
        </w:rPr>
        <w:t xml:space="preserve">] </w:t>
      </w:r>
      <w:r w:rsidRPr="00CF3D93">
        <w:rPr>
          <w:lang w:val="de-DE"/>
        </w:rPr>
        <w:t>Dan L</w:t>
      </w:r>
      <w:r w:rsidRPr="00CF3D93">
        <w:rPr>
          <w:rFonts w:ascii="Calibri" w:hAnsi="Calibri" w:cs="Calibri"/>
          <w:lang w:val="de-DE"/>
        </w:rPr>
        <w:t>é</w:t>
      </w:r>
      <w:r w:rsidRPr="00CF3D93">
        <w:rPr>
          <w:lang w:val="de-DE"/>
        </w:rPr>
        <w:t xml:space="preserve">on, Edgar </w:t>
      </w:r>
      <w:proofErr w:type="spellStart"/>
      <w:r w:rsidRPr="00CF3D93">
        <w:rPr>
          <w:lang w:val="de-DE"/>
        </w:rPr>
        <w:t>J</w:t>
      </w:r>
      <w:r w:rsidRPr="00CF3D93">
        <w:rPr>
          <w:rFonts w:ascii="Calibri" w:hAnsi="Calibri" w:cs="Calibri"/>
          <w:lang w:val="de-DE"/>
        </w:rPr>
        <w:t>égut</w:t>
      </w:r>
      <w:proofErr w:type="spellEnd"/>
      <w:r w:rsidRPr="00CF3D93">
        <w:rPr>
          <w:rFonts w:ascii="Calibri" w:hAnsi="Calibri" w:cs="Calibri"/>
          <w:lang w:val="de-DE"/>
        </w:rPr>
        <w:t xml:space="preserve">: </w:t>
      </w:r>
      <w:r w:rsidR="00CF3D93" w:rsidRPr="00CF3D93">
        <w:rPr>
          <w:rFonts w:ascii="Calibri" w:hAnsi="Calibri" w:cs="Calibri"/>
          <w:lang w:val="de-DE"/>
        </w:rPr>
        <w:t>“</w:t>
      </w:r>
      <w:r w:rsidRPr="00CF3D93">
        <w:rPr>
          <w:rFonts w:ascii="Calibri" w:hAnsi="Calibri" w:cs="Calibri"/>
          <w:lang w:val="de-DE"/>
        </w:rPr>
        <w:t>De M. Émile Zola</w:t>
      </w:r>
      <w:r w:rsidR="00CF3D93" w:rsidRPr="00CF3D93">
        <w:rPr>
          <w:rFonts w:ascii="Calibri" w:hAnsi="Calibri" w:cs="Calibri"/>
          <w:lang w:val="de-DE"/>
        </w:rPr>
        <w:t>”,</w:t>
      </w:r>
      <w:r w:rsidRPr="00CF3D93">
        <w:rPr>
          <w:rFonts w:ascii="Calibri" w:hAnsi="Calibri" w:cs="Calibri"/>
          <w:lang w:val="de-DE"/>
        </w:rPr>
        <w:t xml:space="preserve"> </w:t>
      </w:r>
      <w:r w:rsidRPr="00925DB3">
        <w:rPr>
          <w:rFonts w:ascii="Calibri" w:hAnsi="Calibri" w:cs="Calibri"/>
          <w:lang w:val="de-DE"/>
        </w:rPr>
        <w:t xml:space="preserve">In: </w:t>
      </w:r>
      <w:r w:rsidRPr="00925DB3">
        <w:rPr>
          <w:rFonts w:ascii="Calibri" w:hAnsi="Calibri" w:cs="Calibri"/>
          <w:i/>
          <w:lang w:val="de-DE"/>
        </w:rPr>
        <w:t>La Revue Blanche</w:t>
      </w:r>
      <w:r w:rsidRPr="00925DB3">
        <w:rPr>
          <w:rFonts w:ascii="Calibri" w:hAnsi="Calibri" w:cs="Calibri"/>
          <w:lang w:val="de-DE"/>
        </w:rPr>
        <w:t>, XXVIII, Januar – April 1902, 381-382</w:t>
      </w:r>
      <w:r w:rsidR="00CF3D93">
        <w:rPr>
          <w:rFonts w:ascii="Calibri" w:hAnsi="Calibri" w:cs="Calibri"/>
          <w:lang w:val="de-DE"/>
        </w:rPr>
        <w:t xml:space="preserve">, hier: </w:t>
      </w:r>
      <w:r w:rsidRPr="00925DB3">
        <w:rPr>
          <w:rFonts w:ascii="Calibri" w:hAnsi="Calibri" w:cs="Calibri"/>
          <w:lang w:val="de-DE"/>
        </w:rPr>
        <w:t>382</w:t>
      </w:r>
      <w:r w:rsidR="00CF3D93">
        <w:rPr>
          <w:rFonts w:ascii="Calibri" w:hAnsi="Calibri" w:cs="Calibri"/>
          <w:lang w:val="de-DE"/>
        </w:rPr>
        <w:t>.</w:t>
      </w:r>
    </w:p>
  </w:footnote>
  <w:footnote w:id="12">
    <w:p w:rsidR="00EB58BF" w:rsidRPr="00EB58BF" w:rsidRDefault="00EB58BF">
      <w:pPr>
        <w:pStyle w:val="FootnoteText"/>
        <w:rPr>
          <w:lang w:val="de-DE"/>
        </w:rPr>
      </w:pPr>
      <w:r>
        <w:rPr>
          <w:rStyle w:val="FootnoteReference"/>
        </w:rPr>
        <w:footnoteRef/>
      </w:r>
      <w:r w:rsidRPr="00EB58BF">
        <w:rPr>
          <w:lang w:val="de-DE"/>
        </w:rPr>
        <w:t xml:space="preserve"> </w:t>
      </w:r>
      <w:r w:rsidR="00CF3D93" w:rsidRPr="00CF3D93">
        <w:rPr>
          <w:lang w:val="de-DE"/>
        </w:rPr>
        <w:t xml:space="preserve">Auguste Comte: </w:t>
      </w:r>
      <w:r w:rsidR="00CF3D93" w:rsidRPr="00CF3D93">
        <w:rPr>
          <w:i/>
          <w:lang w:val="de-DE"/>
        </w:rPr>
        <w:t xml:space="preserve">Rede über den Geist des Positivismus. Übersetzt, eingeleitet und herausgegeben von </w:t>
      </w:r>
      <w:proofErr w:type="spellStart"/>
      <w:r w:rsidR="00CF3D93" w:rsidRPr="00CF3D93">
        <w:rPr>
          <w:i/>
          <w:lang w:val="de-DE"/>
        </w:rPr>
        <w:t>Iring</w:t>
      </w:r>
      <w:proofErr w:type="spellEnd"/>
      <w:r w:rsidR="00CF3D93" w:rsidRPr="00CF3D93">
        <w:rPr>
          <w:i/>
          <w:lang w:val="de-DE"/>
        </w:rPr>
        <w:t xml:space="preserve"> Fetscher</w:t>
      </w:r>
      <w:r w:rsidR="00CF3D93" w:rsidRPr="00CF3D93">
        <w:rPr>
          <w:lang w:val="de-DE"/>
        </w:rPr>
        <w:t xml:space="preserve">. Hamburg: Meiner, 1956, </w:t>
      </w:r>
      <w:r w:rsidRPr="00CF3D93">
        <w:rPr>
          <w:rFonts w:ascii="Times New Roman" w:hAnsi="Times New Roman" w:cs="Times New Roman"/>
          <w:lang w:val="de-DE"/>
        </w:rPr>
        <w:t>85.</w:t>
      </w:r>
    </w:p>
  </w:footnote>
  <w:footnote w:id="13">
    <w:p w:rsidR="00741D2D" w:rsidRPr="00741D2D" w:rsidRDefault="00741D2D">
      <w:pPr>
        <w:pStyle w:val="FootnoteText"/>
        <w:rPr>
          <w:lang w:val="de-DE"/>
        </w:rPr>
      </w:pPr>
      <w:r>
        <w:rPr>
          <w:rStyle w:val="FootnoteReference"/>
        </w:rPr>
        <w:footnoteRef/>
      </w:r>
      <w:r w:rsidRPr="00741D2D">
        <w:rPr>
          <w:lang w:val="de-DE"/>
        </w:rPr>
        <w:t xml:space="preserve"> </w:t>
      </w:r>
      <w:r w:rsidR="00CF3D93">
        <w:rPr>
          <w:rFonts w:ascii="Times New Roman" w:hAnsi="Times New Roman" w:cs="Times New Roman"/>
          <w:lang w:val="de-DE"/>
        </w:rPr>
        <w:t>Ebd.,</w:t>
      </w:r>
      <w:r w:rsidR="00EB58BF" w:rsidRPr="00EB58BF">
        <w:rPr>
          <w:rFonts w:ascii="Times New Roman" w:hAnsi="Times New Roman" w:cs="Times New Roman"/>
          <w:lang w:val="de-DE"/>
        </w:rPr>
        <w:t xml:space="preserve"> 87</w:t>
      </w:r>
      <w:r w:rsidR="00EB58BF">
        <w:rPr>
          <w:rFonts w:ascii="Times New Roman" w:hAnsi="Times New Roman" w:cs="Times New Roman"/>
          <w:lang w:val="de-DE"/>
        </w:rPr>
        <w:t xml:space="preserve">. </w:t>
      </w:r>
      <w:r>
        <w:rPr>
          <w:lang w:val="de-DE"/>
        </w:rPr>
        <w:t xml:space="preserve">„Die einzige wesentliche Eigenschaft des neuen philosophischen Geistes, die noch nicht unmittelbar durch das Wort positiv angegeben worden ist, besteht in seiner notwendigen Tendenz überall das </w:t>
      </w:r>
      <w:r w:rsidRPr="004F5ECF">
        <w:rPr>
          <w:i/>
          <w:lang w:val="de-DE"/>
        </w:rPr>
        <w:t>Relative</w:t>
      </w:r>
      <w:r>
        <w:rPr>
          <w:lang w:val="de-DE"/>
        </w:rPr>
        <w:t xml:space="preserve"> an die Stelle des Absoluten zu setzen.“ (</w:t>
      </w:r>
      <w:r w:rsidR="00CF3D93">
        <w:rPr>
          <w:lang w:val="de-DE"/>
        </w:rPr>
        <w:t xml:space="preserve">Ebd., </w:t>
      </w:r>
      <w:r>
        <w:rPr>
          <w:lang w:val="de-DE"/>
        </w:rPr>
        <w:t>91)</w:t>
      </w:r>
    </w:p>
  </w:footnote>
  <w:footnote w:id="14">
    <w:p w:rsidR="00741D2D" w:rsidRPr="009B2A1D" w:rsidRDefault="00741D2D" w:rsidP="00741D2D">
      <w:pPr>
        <w:rPr>
          <w:rFonts w:cs="Arial"/>
          <w:color w:val="000000"/>
          <w:sz w:val="20"/>
          <w:szCs w:val="20"/>
          <w:shd w:val="clear" w:color="auto" w:fill="FFFFFF"/>
          <w:lang w:val="de-DE"/>
        </w:rPr>
      </w:pPr>
      <w:r w:rsidRPr="009B2A1D">
        <w:rPr>
          <w:rStyle w:val="FootnoteReference"/>
          <w:sz w:val="20"/>
          <w:szCs w:val="20"/>
        </w:rPr>
        <w:footnoteRef/>
      </w:r>
      <w:r w:rsidRPr="009B2A1D">
        <w:rPr>
          <w:sz w:val="20"/>
          <w:szCs w:val="20"/>
          <w:lang w:val="de-DE"/>
        </w:rPr>
        <w:t xml:space="preserve"> </w:t>
      </w:r>
      <w:r w:rsidR="00CF3D93">
        <w:rPr>
          <w:sz w:val="20"/>
          <w:szCs w:val="20"/>
          <w:lang w:val="de-DE"/>
        </w:rPr>
        <w:t xml:space="preserve">Emile </w:t>
      </w:r>
      <w:r w:rsidR="00CF3D93" w:rsidRPr="00CF3D93">
        <w:rPr>
          <w:rFonts w:asciiTheme="minorHAnsi" w:eastAsiaTheme="minorHAnsi" w:hAnsiTheme="minorHAnsi" w:cstheme="minorBidi"/>
          <w:sz w:val="20"/>
          <w:szCs w:val="20"/>
          <w:lang w:val="de-DE"/>
        </w:rPr>
        <w:t xml:space="preserve">Zola: </w:t>
      </w:r>
      <w:r w:rsidR="00CF3D93" w:rsidRPr="00CF3D93">
        <w:rPr>
          <w:rFonts w:asciiTheme="minorHAnsi" w:eastAsiaTheme="minorHAnsi" w:hAnsiTheme="minorHAnsi" w:cstheme="minorBidi"/>
          <w:i/>
          <w:sz w:val="20"/>
          <w:szCs w:val="20"/>
          <w:lang w:val="de-DE"/>
        </w:rPr>
        <w:t>Der Experimentalroman. Eine Studie</w:t>
      </w:r>
      <w:r w:rsidR="00CF3D93" w:rsidRPr="00CF3D93">
        <w:rPr>
          <w:rFonts w:asciiTheme="minorHAnsi" w:eastAsiaTheme="minorHAnsi" w:hAnsiTheme="minorHAnsi" w:cstheme="minorBidi"/>
          <w:sz w:val="20"/>
          <w:szCs w:val="20"/>
          <w:lang w:val="de-DE"/>
        </w:rPr>
        <w:t>. Leipzig: Zeitler, 1904</w:t>
      </w:r>
      <w:r w:rsidRPr="009B2A1D">
        <w:rPr>
          <w:sz w:val="20"/>
          <w:szCs w:val="20"/>
          <w:lang w:val="de-DE"/>
        </w:rPr>
        <w:t xml:space="preserve">, 32. </w:t>
      </w:r>
    </w:p>
  </w:footnote>
  <w:footnote w:id="15">
    <w:p w:rsidR="004F62FF" w:rsidRPr="00CF3D93" w:rsidRDefault="004F62FF" w:rsidP="004F62FF">
      <w:pPr>
        <w:rPr>
          <w:sz w:val="20"/>
          <w:szCs w:val="20"/>
          <w:lang w:val="de-DE"/>
        </w:rPr>
      </w:pPr>
      <w:r w:rsidRPr="004F62FF">
        <w:rPr>
          <w:rStyle w:val="FootnoteReference"/>
          <w:sz w:val="20"/>
          <w:szCs w:val="20"/>
        </w:rPr>
        <w:footnoteRef/>
      </w:r>
      <w:r w:rsidRPr="004F62FF">
        <w:rPr>
          <w:sz w:val="20"/>
          <w:szCs w:val="20"/>
          <w:lang w:val="de-DE"/>
        </w:rPr>
        <w:t xml:space="preserve"> </w:t>
      </w:r>
      <w:r w:rsidR="00EB58BF">
        <w:rPr>
          <w:sz w:val="20"/>
          <w:szCs w:val="20"/>
          <w:lang w:val="de-DE"/>
        </w:rPr>
        <w:t xml:space="preserve">Mit Comte und den Positivismus teilt Zola also seine Abneigung gegen alles Ideelle. Das Ideelle im Positivismus ist nichts anderes als die noch nicht in wissenschaftliches Wissen überführtes Unbekanntes, alles andere ist als unwissenschaftlich fallenzulassen. Treffend bemerkt Hermann Broch: </w:t>
      </w:r>
      <w:r w:rsidR="00EB58BF" w:rsidRPr="00EB58BF">
        <w:rPr>
          <w:sz w:val="20"/>
          <w:szCs w:val="20"/>
          <w:lang w:val="de-DE"/>
        </w:rPr>
        <w:t xml:space="preserve">„Hingegeben an sein jetzt zu erlebendes Objekt kannte der Schriftsteller die überzeitliche Idee nicht; sie war ihm immer nur eine der ausgedehnteren </w:t>
      </w:r>
      <w:proofErr w:type="spellStart"/>
      <w:r w:rsidR="00EB58BF" w:rsidRPr="00EB58BF">
        <w:rPr>
          <w:sz w:val="20"/>
          <w:szCs w:val="20"/>
          <w:lang w:val="de-DE"/>
        </w:rPr>
        <w:t>ideés</w:t>
      </w:r>
      <w:proofErr w:type="spellEnd"/>
      <w:r w:rsidR="00EB58BF" w:rsidRPr="00EB58BF">
        <w:rPr>
          <w:sz w:val="20"/>
          <w:szCs w:val="20"/>
          <w:lang w:val="de-DE"/>
        </w:rPr>
        <w:t xml:space="preserve"> de </w:t>
      </w:r>
      <w:proofErr w:type="spellStart"/>
      <w:r w:rsidR="00EB58BF" w:rsidRPr="00EB58BF">
        <w:rPr>
          <w:sz w:val="20"/>
          <w:szCs w:val="20"/>
          <w:lang w:val="de-DE"/>
        </w:rPr>
        <w:t>l’époque</w:t>
      </w:r>
      <w:proofErr w:type="spellEnd"/>
      <w:r w:rsidR="00EB58BF" w:rsidRPr="00EB58BF">
        <w:rPr>
          <w:sz w:val="20"/>
          <w:szCs w:val="20"/>
          <w:lang w:val="de-DE"/>
        </w:rPr>
        <w:t xml:space="preserve"> und rationale Basis materialer Glücksmöglichkeit“ (Hermann Broch: Zolas Vorurteil. In: Schriften zur Literatur 1. Kritik. Frankfurt am Main: Suhrkamp, 1975, 34-40, hier: 34) Überhaupt dürfte das abschließende Urteil des Idealisten Broch weitgehend mit dem Tolstois </w:t>
      </w:r>
      <w:r w:rsidR="00EB58BF">
        <w:rPr>
          <w:sz w:val="20"/>
          <w:szCs w:val="20"/>
          <w:lang w:val="de-DE"/>
        </w:rPr>
        <w:t xml:space="preserve">über Zola </w:t>
      </w:r>
      <w:r w:rsidR="00EB58BF" w:rsidRPr="00EB58BF">
        <w:rPr>
          <w:sz w:val="20"/>
          <w:szCs w:val="20"/>
          <w:lang w:val="de-DE"/>
        </w:rPr>
        <w:t xml:space="preserve">übereinstimmen, wenn </w:t>
      </w:r>
      <w:r w:rsidR="00EB58BF">
        <w:rPr>
          <w:sz w:val="20"/>
          <w:szCs w:val="20"/>
          <w:lang w:val="de-DE"/>
        </w:rPr>
        <w:t>Broch</w:t>
      </w:r>
      <w:r w:rsidR="00EB58BF" w:rsidRPr="00EB58BF">
        <w:rPr>
          <w:sz w:val="20"/>
          <w:szCs w:val="20"/>
          <w:lang w:val="de-DE"/>
        </w:rPr>
        <w:t xml:space="preserve"> schreibt: </w:t>
      </w:r>
      <w:r w:rsidRPr="004F62FF">
        <w:rPr>
          <w:sz w:val="20"/>
          <w:szCs w:val="20"/>
          <w:lang w:val="de-DE"/>
        </w:rPr>
        <w:t xml:space="preserve">„Was Zola dabei ein wenig lächerlich macht, ist, </w:t>
      </w:r>
      <w:proofErr w:type="spellStart"/>
      <w:r w:rsidRPr="004F62FF">
        <w:rPr>
          <w:sz w:val="20"/>
          <w:szCs w:val="20"/>
          <w:lang w:val="de-DE"/>
        </w:rPr>
        <w:t>daß</w:t>
      </w:r>
      <w:proofErr w:type="spellEnd"/>
      <w:r w:rsidRPr="004F62FF">
        <w:rPr>
          <w:sz w:val="20"/>
          <w:szCs w:val="20"/>
          <w:lang w:val="de-DE"/>
        </w:rPr>
        <w:t xml:space="preserve"> er in einer Zeit der dümmsten Philosophie, nämlich in der materialistischen Antiphilosophie der nach-hegelschen Periode, lebte und sich solcherart zum Sprecher dieser Ungeistigkeit oder zumindest zu ihrem Reflex machte.“ (Hermann Broch: Theologie, Positivismus und Dichtung. In: Philosophische Schriften 1. Kritik. Frankfurt am Main: Suhrkamp, 1977, 191-239, hier:</w:t>
      </w:r>
      <w:r w:rsidRPr="004F62FF">
        <w:rPr>
          <w:b/>
          <w:sz w:val="20"/>
          <w:szCs w:val="20"/>
          <w:lang w:val="de-DE"/>
        </w:rPr>
        <w:t xml:space="preserve"> </w:t>
      </w:r>
      <w:r w:rsidRPr="004F62FF">
        <w:rPr>
          <w:sz w:val="20"/>
          <w:szCs w:val="20"/>
          <w:lang w:val="de-DE"/>
        </w:rPr>
        <w:t xml:space="preserve">231) </w:t>
      </w:r>
      <w:r w:rsidR="00EB58BF">
        <w:rPr>
          <w:sz w:val="20"/>
          <w:szCs w:val="20"/>
          <w:lang w:val="de-DE"/>
        </w:rPr>
        <w:t>Tolstoi hatte an zwei Stellen in seiner Korrespondenz von Zolas „Dummheit“ gesprochen</w:t>
      </w:r>
      <w:r w:rsidR="00CF3D93">
        <w:rPr>
          <w:sz w:val="20"/>
          <w:szCs w:val="20"/>
          <w:lang w:val="de-DE"/>
        </w:rPr>
        <w:t xml:space="preserve">: </w:t>
      </w:r>
      <w:r w:rsidR="00CF3D93" w:rsidRPr="00CF3D93">
        <w:rPr>
          <w:sz w:val="20"/>
          <w:szCs w:val="20"/>
          <w:lang w:val="de-DE"/>
        </w:rPr>
        <w:t xml:space="preserve">Lew Tolstoi: Briefe. Zweiter Band. 1886-1910. In: Gesammelte Werke in zwanzig Bänden. Herausgegeben von Eberhard Dieckmann und Gerhard Dudek. Band 17. Berlin: Rütten &amp; </w:t>
      </w:r>
      <w:proofErr w:type="spellStart"/>
      <w:r w:rsidR="00CF3D93" w:rsidRPr="00CF3D93">
        <w:rPr>
          <w:sz w:val="20"/>
          <w:szCs w:val="20"/>
          <w:lang w:val="de-DE"/>
        </w:rPr>
        <w:t>Loening</w:t>
      </w:r>
      <w:proofErr w:type="spellEnd"/>
      <w:r w:rsidR="00CF3D93" w:rsidRPr="00CF3D93">
        <w:rPr>
          <w:sz w:val="20"/>
          <w:szCs w:val="20"/>
          <w:lang w:val="de-DE"/>
        </w:rPr>
        <w:t xml:space="preserve">, 1971, 144, 145. </w:t>
      </w:r>
    </w:p>
  </w:footnote>
  <w:footnote w:id="16">
    <w:p w:rsidR="006513A6" w:rsidRPr="00C36B02" w:rsidRDefault="006513A6" w:rsidP="006513A6">
      <w:pPr>
        <w:rPr>
          <w:lang w:val="de-DE"/>
        </w:rPr>
      </w:pPr>
      <w:r>
        <w:rPr>
          <w:rStyle w:val="FootnoteReference"/>
        </w:rPr>
        <w:footnoteRef/>
      </w:r>
      <w:r w:rsidRPr="00C36B02">
        <w:rPr>
          <w:lang w:val="de-DE"/>
        </w:rPr>
        <w:t xml:space="preserve"> </w:t>
      </w:r>
      <w:r w:rsidRPr="00C36B02">
        <w:rPr>
          <w:sz w:val="20"/>
          <w:szCs w:val="20"/>
          <w:lang w:val="de-DE"/>
        </w:rPr>
        <w:t xml:space="preserve">„Der einzig bedeutungsvolle, geistig dominierende Roman, dessen Gestalt und Methode im Einklange mit dem wissenschaftlichen Charakter unserer Epoche steht und den konventionellen Hirngespinsten schlankweg den Rücken kehrt; [232] dieser Roman, der auf den Ergebnissen der Beobachtung und Wissenschaft beruht und zunächst keine anderen künstlerischen Ansprüche macht, als für die Wahrheit der Sache den zutreffendsten, knappsten, lebendigsten Ausdruck zu finden, ohne idealisierende Flunkerei, ist der realistische oder naturalistische, le </w:t>
      </w:r>
      <w:proofErr w:type="spellStart"/>
      <w:r w:rsidRPr="00C36B02">
        <w:rPr>
          <w:sz w:val="20"/>
          <w:szCs w:val="20"/>
          <w:lang w:val="de-DE"/>
        </w:rPr>
        <w:t>roman</w:t>
      </w:r>
      <w:proofErr w:type="spellEnd"/>
      <w:r w:rsidRPr="00C36B02">
        <w:rPr>
          <w:sz w:val="20"/>
          <w:szCs w:val="20"/>
          <w:lang w:val="de-DE"/>
        </w:rPr>
        <w:t xml:space="preserve"> </w:t>
      </w:r>
      <w:proofErr w:type="spellStart"/>
      <w:r w:rsidRPr="00C36B02">
        <w:rPr>
          <w:sz w:val="20"/>
          <w:szCs w:val="20"/>
          <w:lang w:val="de-DE"/>
        </w:rPr>
        <w:t>expérimental</w:t>
      </w:r>
      <w:proofErr w:type="spellEnd"/>
      <w:r w:rsidRPr="00C36B02">
        <w:rPr>
          <w:sz w:val="20"/>
          <w:szCs w:val="20"/>
          <w:lang w:val="de-DE"/>
        </w:rPr>
        <w:t>, wie ihn Emil Zola kunstgerecht nennt.“ (Michael Georg Conrad: Der naturalistische Roman Zolas. In: Theorie des Naturalismus. Herausgegeben von Theo Mayer. Stuttgart: Reclam, 1973, 230-234, hier: 231-232.</w:t>
      </w:r>
    </w:p>
  </w:footnote>
  <w:footnote w:id="17">
    <w:p w:rsidR="006513A6" w:rsidRPr="006513A6" w:rsidRDefault="006513A6" w:rsidP="006513A6">
      <w:pPr>
        <w:rPr>
          <w:lang w:val="de-DE"/>
        </w:rPr>
      </w:pPr>
      <w:r w:rsidRPr="006513A6">
        <w:rPr>
          <w:sz w:val="20"/>
          <w:szCs w:val="20"/>
          <w:lang w:val="de-DE"/>
        </w:rPr>
        <w:footnoteRef/>
      </w:r>
      <w:r w:rsidRPr="006513A6">
        <w:rPr>
          <w:sz w:val="20"/>
          <w:szCs w:val="20"/>
          <w:lang w:val="de-DE"/>
        </w:rPr>
        <w:t xml:space="preserve"> Ebd. „Im Gegensatz zu jenem Idealismus, der poetische Chimären an Stelle der empirischen Wahrheit setzte, tritt in der heutigen Belletristik immer bestimmter die Tendenz zur getreuen Wiedergabe nüchterner Lebenswirklichkeit.“ (Irma von Troll-</w:t>
      </w:r>
      <w:proofErr w:type="spellStart"/>
      <w:r w:rsidRPr="006513A6">
        <w:rPr>
          <w:sz w:val="20"/>
          <w:szCs w:val="20"/>
          <w:lang w:val="de-DE"/>
        </w:rPr>
        <w:t>Borostyani</w:t>
      </w:r>
      <w:proofErr w:type="spellEnd"/>
      <w:r w:rsidRPr="006513A6">
        <w:rPr>
          <w:sz w:val="20"/>
          <w:szCs w:val="20"/>
          <w:lang w:val="de-DE"/>
        </w:rPr>
        <w:t>: Der französische Naturalismus. In: Theorie des Naturalismus. Herausgegeben von Theo Mayer. Stuttgart: Reclam, 1973, 235-237, hier: 236.)</w:t>
      </w:r>
      <w:r>
        <w:rPr>
          <w:lang w:val="de-DE"/>
        </w:rPr>
        <w:t xml:space="preserve"> </w:t>
      </w:r>
    </w:p>
  </w:footnote>
  <w:footnote w:id="18">
    <w:p w:rsidR="002C2BF9" w:rsidRPr="00925DB3" w:rsidRDefault="002C2BF9" w:rsidP="00925DB3">
      <w:pPr>
        <w:rPr>
          <w:sz w:val="20"/>
          <w:szCs w:val="20"/>
          <w:lang w:val="de-DE"/>
        </w:rPr>
      </w:pPr>
      <w:r w:rsidRPr="00925DB3">
        <w:rPr>
          <w:rStyle w:val="FootnoteReference"/>
          <w:sz w:val="20"/>
          <w:szCs w:val="20"/>
        </w:rPr>
        <w:footnoteRef/>
      </w:r>
      <w:r w:rsidRPr="00925DB3">
        <w:rPr>
          <w:sz w:val="20"/>
          <w:szCs w:val="20"/>
          <w:lang w:val="de-DE"/>
        </w:rPr>
        <w:t xml:space="preserve"> Leo Tolstoi: Meine Beichte [russ. 1882; Erstausgabe dieser dt. Übersetzung von Alexis </w:t>
      </w:r>
      <w:proofErr w:type="spellStart"/>
      <w:r w:rsidRPr="00925DB3">
        <w:rPr>
          <w:sz w:val="20"/>
          <w:szCs w:val="20"/>
          <w:lang w:val="de-DE"/>
        </w:rPr>
        <w:t>Markow</w:t>
      </w:r>
      <w:proofErr w:type="spellEnd"/>
      <w:r w:rsidRPr="00925DB3">
        <w:rPr>
          <w:sz w:val="20"/>
          <w:szCs w:val="20"/>
          <w:lang w:val="de-DE"/>
        </w:rPr>
        <w:t xml:space="preserve"> 1890]. Berlin: Insel, 2016, 35.</w:t>
      </w:r>
      <w:r w:rsidR="001A6B4E" w:rsidRPr="00925DB3">
        <w:rPr>
          <w:sz w:val="20"/>
          <w:szCs w:val="20"/>
          <w:lang w:val="de-DE"/>
        </w:rPr>
        <w:t xml:space="preserve"> Siehe auch „Meine Frage, die mich im Alter von fünfzig Jahren beinahe zum Selbstmord getrieben hätte, war die allereinfachste, welche vom unmündigen Kind bis zum weisesten Greis in jedes Menschen Seele liegt. Ohne sie ist das Leben nicht möglich, das habe ich tatsächlich erfahren. Diese Frage besteht in folgendem: ‚Was kommt heraus aus dem, was ich heute tue, was ich morgen tun werde – was kommt aus meinem ganzen Leben heraus?‘ Anders ausgedrückt: ‚Wozu habe ich zu leben, zu wünschen, zu handeln?‘ Oder noch anders: ‚Hat mein Leben einen Zweck, der durch den unausbleiblichen, mir bevorstehenden Tod nicht aufgehoben wird?‘ Auf diese eine und dieselbe Frage, wie man sie auch fassen möge, suchte ich Antwort im menschlichen Wissen.“ (35)</w:t>
      </w:r>
    </w:p>
  </w:footnote>
  <w:footnote w:id="19">
    <w:p w:rsidR="00AC104B" w:rsidRPr="00925DB3" w:rsidRDefault="00AC104B" w:rsidP="00925DB3">
      <w:pPr>
        <w:pStyle w:val="FootnoteText"/>
        <w:rPr>
          <w:lang w:val="de-DE"/>
        </w:rPr>
      </w:pPr>
      <w:r w:rsidRPr="00925DB3">
        <w:rPr>
          <w:rStyle w:val="FootnoteReference"/>
        </w:rPr>
        <w:footnoteRef/>
      </w:r>
      <w:r w:rsidRPr="00925DB3">
        <w:rPr>
          <w:lang w:val="de-DE"/>
        </w:rPr>
        <w:t xml:space="preserve"> Raphael Löwenfeld: </w:t>
      </w:r>
      <w:r w:rsidRPr="00CF3D93">
        <w:rPr>
          <w:i/>
          <w:lang w:val="de-DE"/>
        </w:rPr>
        <w:t xml:space="preserve">Gespräche über und mit </w:t>
      </w:r>
      <w:proofErr w:type="spellStart"/>
      <w:r w:rsidRPr="00CF3D93">
        <w:rPr>
          <w:i/>
          <w:lang w:val="de-DE"/>
        </w:rPr>
        <w:t>Tolstoj</w:t>
      </w:r>
      <w:proofErr w:type="spellEnd"/>
      <w:r w:rsidRPr="00925DB3">
        <w:rPr>
          <w:lang w:val="de-DE"/>
        </w:rPr>
        <w:t>. Leipzig: Diederichs, 1901, 84</w:t>
      </w:r>
      <w:r w:rsidR="00CF3D93">
        <w:rPr>
          <w:lang w:val="de-DE"/>
        </w:rPr>
        <w:t>.</w:t>
      </w:r>
    </w:p>
  </w:footnote>
  <w:footnote w:id="20">
    <w:p w:rsidR="001E0D6F" w:rsidRPr="00CF3D93" w:rsidRDefault="001E0D6F" w:rsidP="00925DB3">
      <w:pPr>
        <w:rPr>
          <w:sz w:val="20"/>
          <w:szCs w:val="20"/>
          <w:lang w:val="de-DE"/>
        </w:rPr>
      </w:pPr>
      <w:r w:rsidRPr="00925DB3">
        <w:rPr>
          <w:rStyle w:val="FootnoteReference"/>
          <w:sz w:val="20"/>
          <w:szCs w:val="20"/>
        </w:rPr>
        <w:footnoteRef/>
      </w:r>
      <w:r w:rsidRPr="00925DB3">
        <w:rPr>
          <w:sz w:val="20"/>
          <w:szCs w:val="20"/>
          <w:lang w:val="de-DE"/>
        </w:rPr>
        <w:t xml:space="preserve"> An M.L. Tolstoi, 16.-19. Oktober 1895 (nicht abgeschickt), Michail </w:t>
      </w:r>
      <w:proofErr w:type="spellStart"/>
      <w:r w:rsidRPr="00925DB3">
        <w:rPr>
          <w:sz w:val="20"/>
          <w:szCs w:val="20"/>
          <w:lang w:val="de-DE"/>
        </w:rPr>
        <w:t>Lwowitsch</w:t>
      </w:r>
      <w:proofErr w:type="spellEnd"/>
      <w:r w:rsidRPr="00925DB3">
        <w:rPr>
          <w:sz w:val="20"/>
          <w:szCs w:val="20"/>
          <w:lang w:val="de-DE"/>
        </w:rPr>
        <w:t xml:space="preserve"> Graf Tolstoi (1879-1944), Mischa, siebenter Sohn Tolstois, </w:t>
      </w:r>
      <w:r w:rsidR="00CF3D93" w:rsidRPr="00CF3D93">
        <w:rPr>
          <w:sz w:val="20"/>
          <w:szCs w:val="20"/>
          <w:lang w:val="de-DE"/>
        </w:rPr>
        <w:t xml:space="preserve">Lew Tolstoi: Briefe. Zweiter Band. 1886-1910. In: Gesammelte Werke in zwanzig Bänden. Herausgegeben von Eberhard Dieckmann und Gerhard Dudek. Band 17. Berlin: Rütten &amp; </w:t>
      </w:r>
      <w:proofErr w:type="spellStart"/>
      <w:r w:rsidR="00CF3D93" w:rsidRPr="00CF3D93">
        <w:rPr>
          <w:sz w:val="20"/>
          <w:szCs w:val="20"/>
          <w:lang w:val="de-DE"/>
        </w:rPr>
        <w:t>Loening</w:t>
      </w:r>
      <w:proofErr w:type="spellEnd"/>
      <w:r w:rsidR="00CF3D93" w:rsidRPr="00CF3D93">
        <w:rPr>
          <w:sz w:val="20"/>
          <w:szCs w:val="20"/>
          <w:lang w:val="de-DE"/>
        </w:rPr>
        <w:t>, 1971</w:t>
      </w:r>
      <w:r w:rsidRPr="00925DB3">
        <w:rPr>
          <w:sz w:val="20"/>
          <w:szCs w:val="20"/>
          <w:lang w:val="de-DE"/>
        </w:rPr>
        <w:t xml:space="preserve">, 218. </w:t>
      </w:r>
    </w:p>
  </w:footnote>
  <w:footnote w:id="21">
    <w:p w:rsidR="00AC104B" w:rsidRPr="00925DB3" w:rsidRDefault="00AC104B" w:rsidP="00925DB3">
      <w:pPr>
        <w:pStyle w:val="FootnoteText"/>
        <w:rPr>
          <w:lang w:val="de-DE"/>
        </w:rPr>
      </w:pPr>
      <w:r w:rsidRPr="00925DB3">
        <w:rPr>
          <w:rStyle w:val="FootnoteReference"/>
        </w:rPr>
        <w:footnoteRef/>
      </w:r>
      <w:r w:rsidRPr="00925DB3">
        <w:rPr>
          <w:lang w:val="de-DE"/>
        </w:rPr>
        <w:t xml:space="preserve"> Aurelius Augustinus: </w:t>
      </w:r>
      <w:proofErr w:type="spellStart"/>
      <w:r w:rsidRPr="00925DB3">
        <w:rPr>
          <w:lang w:val="de-DE"/>
        </w:rPr>
        <w:t>Confessiones</w:t>
      </w:r>
      <w:proofErr w:type="spellEnd"/>
      <w:r w:rsidRPr="00925DB3">
        <w:rPr>
          <w:lang w:val="de-DE"/>
        </w:rPr>
        <w:t xml:space="preserve">. </w:t>
      </w:r>
      <w:r w:rsidRPr="00CF3D93">
        <w:rPr>
          <w:i/>
          <w:lang w:val="de-DE"/>
        </w:rPr>
        <w:t xml:space="preserve">Bekenntnisse. Lateinisch/Deutsch. Übersetzt, herausgegeben und kommentiert von Kurt </w:t>
      </w:r>
      <w:proofErr w:type="spellStart"/>
      <w:r w:rsidRPr="00CF3D93">
        <w:rPr>
          <w:i/>
          <w:lang w:val="de-DE"/>
        </w:rPr>
        <w:t>Flasch</w:t>
      </w:r>
      <w:proofErr w:type="spellEnd"/>
      <w:r w:rsidRPr="00CF3D93">
        <w:rPr>
          <w:i/>
          <w:lang w:val="de-DE"/>
        </w:rPr>
        <w:t xml:space="preserve"> und Burkhard </w:t>
      </w:r>
      <w:proofErr w:type="spellStart"/>
      <w:r w:rsidRPr="00CF3D93">
        <w:rPr>
          <w:i/>
          <w:lang w:val="de-DE"/>
        </w:rPr>
        <w:t>Mojsisch</w:t>
      </w:r>
      <w:proofErr w:type="spellEnd"/>
      <w:r w:rsidRPr="00CF3D93">
        <w:rPr>
          <w:i/>
          <w:lang w:val="de-DE"/>
        </w:rPr>
        <w:t xml:space="preserve">. Mit einer Einleitung von Kurt </w:t>
      </w:r>
      <w:proofErr w:type="spellStart"/>
      <w:r w:rsidRPr="00CF3D93">
        <w:rPr>
          <w:i/>
          <w:lang w:val="de-DE"/>
        </w:rPr>
        <w:t>Flasch</w:t>
      </w:r>
      <w:proofErr w:type="spellEnd"/>
      <w:r w:rsidRPr="00925DB3">
        <w:rPr>
          <w:lang w:val="de-DE"/>
        </w:rPr>
        <w:t>. Stuttgart: Reclam, 2009</w:t>
      </w:r>
      <w:r w:rsidR="00CF3D93">
        <w:rPr>
          <w:lang w:val="de-DE"/>
        </w:rPr>
        <w:t xml:space="preserve">, </w:t>
      </w:r>
      <w:r w:rsidRPr="00925DB3">
        <w:rPr>
          <w:lang w:val="de-DE"/>
        </w:rPr>
        <w:t>35</w:t>
      </w:r>
      <w:r w:rsidR="00CF3D93">
        <w:rPr>
          <w:lang w:val="de-DE"/>
        </w:rPr>
        <w:t>.</w:t>
      </w:r>
    </w:p>
  </w:footnote>
  <w:footnote w:id="22">
    <w:p w:rsidR="00CF3D93" w:rsidRPr="00973D4A" w:rsidRDefault="00CF3D93" w:rsidP="00973D4A">
      <w:pPr>
        <w:rPr>
          <w:sz w:val="20"/>
          <w:szCs w:val="20"/>
          <w:lang w:val="de-DE"/>
        </w:rPr>
      </w:pPr>
      <w:r w:rsidRPr="00973D4A">
        <w:rPr>
          <w:sz w:val="20"/>
          <w:szCs w:val="20"/>
          <w:lang w:val="de-DE"/>
        </w:rPr>
        <w:footnoteRef/>
      </w:r>
      <w:r w:rsidRPr="00973D4A">
        <w:rPr>
          <w:sz w:val="20"/>
          <w:szCs w:val="20"/>
          <w:lang w:val="de-DE"/>
        </w:rPr>
        <w:t xml:space="preserve"> </w:t>
      </w:r>
      <w:r w:rsidR="00973D4A" w:rsidRPr="00973D4A">
        <w:rPr>
          <w:sz w:val="20"/>
          <w:szCs w:val="20"/>
          <w:lang w:val="de-DE"/>
        </w:rPr>
        <w:t xml:space="preserve">Leo Tolstoi: Meine Beichte [russ. 1882; Erstausgabe dieser dt. Übersetzung von Alexis </w:t>
      </w:r>
      <w:proofErr w:type="spellStart"/>
      <w:r w:rsidR="00973D4A" w:rsidRPr="00973D4A">
        <w:rPr>
          <w:sz w:val="20"/>
          <w:szCs w:val="20"/>
          <w:lang w:val="de-DE"/>
        </w:rPr>
        <w:t>Markow</w:t>
      </w:r>
      <w:proofErr w:type="spellEnd"/>
      <w:r w:rsidR="00973D4A" w:rsidRPr="00973D4A">
        <w:rPr>
          <w:sz w:val="20"/>
          <w:szCs w:val="20"/>
          <w:lang w:val="de-DE"/>
        </w:rPr>
        <w:t xml:space="preserve"> 1890]. Berlin: Insel, 2016, </w:t>
      </w:r>
      <w:r w:rsidRPr="00973D4A">
        <w:rPr>
          <w:sz w:val="20"/>
          <w:szCs w:val="20"/>
          <w:lang w:val="de-DE"/>
        </w:rPr>
        <w:t>84-85.</w:t>
      </w:r>
    </w:p>
  </w:footnote>
  <w:footnote w:id="23">
    <w:p w:rsidR="00CF3D93" w:rsidRPr="00973D4A" w:rsidRDefault="00CF3D93" w:rsidP="00973D4A">
      <w:pPr>
        <w:rPr>
          <w:sz w:val="20"/>
          <w:szCs w:val="20"/>
          <w:lang w:val="de-DE"/>
        </w:rPr>
      </w:pPr>
      <w:r w:rsidRPr="00973D4A">
        <w:rPr>
          <w:sz w:val="20"/>
          <w:szCs w:val="20"/>
          <w:lang w:val="de-DE"/>
        </w:rPr>
        <w:footnoteRef/>
      </w:r>
      <w:r w:rsidRPr="00973D4A">
        <w:rPr>
          <w:sz w:val="20"/>
          <w:szCs w:val="20"/>
          <w:lang w:val="de-DE"/>
        </w:rPr>
        <w:t xml:space="preserve"> </w:t>
      </w:r>
      <w:r w:rsidR="00973D4A" w:rsidRPr="00973D4A">
        <w:rPr>
          <w:sz w:val="20"/>
          <w:szCs w:val="20"/>
          <w:lang w:val="de-DE"/>
        </w:rPr>
        <w:t>Leo N. Tolstoi: Mein Glaube. Von dem Verfasser genehmigte Ausgabe von Raphael Löwenfeld. Leipzig: Diederichs, 1902,</w:t>
      </w:r>
      <w:r w:rsidRPr="00973D4A">
        <w:rPr>
          <w:sz w:val="20"/>
          <w:szCs w:val="20"/>
          <w:lang w:val="de-DE"/>
        </w:rPr>
        <w:t xml:space="preserve"> 235.</w:t>
      </w:r>
    </w:p>
  </w:footnote>
  <w:footnote w:id="24">
    <w:p w:rsidR="00E1085E" w:rsidRPr="00925DB3" w:rsidRDefault="00E1085E" w:rsidP="00925DB3">
      <w:pPr>
        <w:pStyle w:val="FootnoteText"/>
        <w:rPr>
          <w:lang w:val="de-DE"/>
        </w:rPr>
      </w:pPr>
      <w:r w:rsidRPr="00925DB3">
        <w:rPr>
          <w:rStyle w:val="FootnoteReference"/>
        </w:rPr>
        <w:footnoteRef/>
      </w:r>
      <w:r w:rsidRPr="00925DB3">
        <w:rPr>
          <w:lang w:val="de-DE"/>
        </w:rPr>
        <w:t xml:space="preserve"> </w:t>
      </w:r>
      <w:r w:rsidR="00973D4A" w:rsidRPr="00925DB3">
        <w:rPr>
          <w:lang w:val="de-DE"/>
        </w:rPr>
        <w:t xml:space="preserve">Max Scheler: Die Stellung des Menschen im Kosmos. In: Gesammelte Werke. Band 9. Späte Schriften. Bern und München: Francke, 1976, 7-71, </w:t>
      </w:r>
      <w:proofErr w:type="gramStart"/>
      <w:r w:rsidR="00973D4A" w:rsidRPr="00925DB3">
        <w:rPr>
          <w:lang w:val="de-DE"/>
        </w:rPr>
        <w:t>hier:</w:t>
      </w:r>
      <w:r w:rsidRPr="00925DB3">
        <w:rPr>
          <w:lang w:val="de-DE"/>
        </w:rPr>
        <w:t>,</w:t>
      </w:r>
      <w:proofErr w:type="gramEnd"/>
      <w:r w:rsidRPr="00925DB3">
        <w:rPr>
          <w:lang w:val="de-DE"/>
        </w:rPr>
        <w:t xml:space="preserve"> 44.</w:t>
      </w:r>
    </w:p>
  </w:footnote>
  <w:footnote w:id="25">
    <w:p w:rsidR="00E1085E" w:rsidRPr="00925DB3" w:rsidRDefault="00E1085E" w:rsidP="00925DB3">
      <w:pPr>
        <w:rPr>
          <w:sz w:val="20"/>
          <w:szCs w:val="20"/>
          <w:lang w:val="de-DE"/>
        </w:rPr>
      </w:pPr>
      <w:r w:rsidRPr="00925DB3">
        <w:rPr>
          <w:rStyle w:val="FootnoteReference"/>
          <w:sz w:val="20"/>
          <w:szCs w:val="20"/>
        </w:rPr>
        <w:footnoteRef/>
      </w:r>
      <w:r w:rsidRPr="00925DB3">
        <w:rPr>
          <w:sz w:val="20"/>
          <w:szCs w:val="20"/>
          <w:lang w:val="de-DE"/>
        </w:rPr>
        <w:t xml:space="preserve"> Max Scheler: Die Stellung des Menschen im Kosmos. In: Gesammelte Werke. Band 9. Späte Schriften. Bern und München: Francke, 1976, 7-71, hier: 42.</w:t>
      </w:r>
    </w:p>
  </w:footnote>
  <w:footnote w:id="26">
    <w:p w:rsidR="00973D4A" w:rsidRPr="00973D4A" w:rsidRDefault="00973D4A">
      <w:pPr>
        <w:pStyle w:val="FootnoteText"/>
        <w:rPr>
          <w:lang w:val="de-DE"/>
        </w:rPr>
      </w:pPr>
      <w:r>
        <w:rPr>
          <w:rStyle w:val="FootnoteReference"/>
        </w:rPr>
        <w:footnoteRef/>
      </w:r>
      <w:r w:rsidRPr="00973D4A">
        <w:rPr>
          <w:lang w:val="de-DE"/>
        </w:rPr>
        <w:t xml:space="preserve"> </w:t>
      </w:r>
      <w:r w:rsidRPr="00925DB3">
        <w:rPr>
          <w:lang w:val="de-DE"/>
        </w:rPr>
        <w:t xml:space="preserve">Die erste Stufe. Von Leo Tolstoi. Aus dem Russischen übersetzt von Wilhelm Henckel. Berlin. Eduard </w:t>
      </w:r>
      <w:proofErr w:type="spellStart"/>
      <w:r w:rsidRPr="00925DB3">
        <w:rPr>
          <w:lang w:val="de-DE"/>
        </w:rPr>
        <w:t>Rentzel</w:t>
      </w:r>
      <w:proofErr w:type="spellEnd"/>
      <w:r w:rsidRPr="00925DB3">
        <w:rPr>
          <w:lang w:val="de-DE"/>
        </w:rPr>
        <w:t>. 1892</w:t>
      </w:r>
      <w:r>
        <w:rPr>
          <w:lang w:val="de-DE"/>
        </w:rPr>
        <w:t>, 37.</w:t>
      </w:r>
    </w:p>
  </w:footnote>
  <w:footnote w:id="27">
    <w:p w:rsidR="005A2D3B" w:rsidRPr="00925DB3" w:rsidRDefault="005A2D3B" w:rsidP="00925DB3">
      <w:pPr>
        <w:rPr>
          <w:sz w:val="20"/>
          <w:szCs w:val="20"/>
          <w:lang w:val="de-DE"/>
        </w:rPr>
      </w:pPr>
      <w:r w:rsidRPr="00925DB3">
        <w:rPr>
          <w:rStyle w:val="FootnoteReference"/>
          <w:sz w:val="20"/>
          <w:szCs w:val="20"/>
        </w:rPr>
        <w:footnoteRef/>
      </w:r>
      <w:r w:rsidRPr="00925DB3">
        <w:rPr>
          <w:sz w:val="20"/>
          <w:szCs w:val="20"/>
          <w:lang w:val="de-DE"/>
        </w:rPr>
        <w:t xml:space="preserve"> Die erste Stufe. Von Leo Tolstoi. Aus dem Russischen übersetzt von Wilhelm Henckel. Berlin. Eduard </w:t>
      </w:r>
      <w:proofErr w:type="spellStart"/>
      <w:r w:rsidRPr="00925DB3">
        <w:rPr>
          <w:sz w:val="20"/>
          <w:szCs w:val="20"/>
          <w:lang w:val="de-DE"/>
        </w:rPr>
        <w:t>Rentzel</w:t>
      </w:r>
      <w:proofErr w:type="spellEnd"/>
      <w:r w:rsidRPr="00925DB3">
        <w:rPr>
          <w:sz w:val="20"/>
          <w:szCs w:val="20"/>
          <w:lang w:val="de-DE"/>
        </w:rPr>
        <w:t xml:space="preserve">. 1892, </w:t>
      </w:r>
      <w:r w:rsidR="00973D4A">
        <w:rPr>
          <w:sz w:val="20"/>
          <w:szCs w:val="20"/>
          <w:lang w:val="de-DE"/>
        </w:rPr>
        <w:t xml:space="preserve">8, </w:t>
      </w:r>
      <w:r w:rsidRPr="00925DB3">
        <w:rPr>
          <w:sz w:val="20"/>
          <w:szCs w:val="20"/>
          <w:lang w:val="de-DE"/>
        </w:rPr>
        <w:t xml:space="preserve">„die der Verfasser als Vorrede zu einer </w:t>
      </w:r>
      <w:proofErr w:type="spellStart"/>
      <w:r w:rsidRPr="00925DB3">
        <w:rPr>
          <w:sz w:val="20"/>
          <w:szCs w:val="20"/>
          <w:lang w:val="de-DE"/>
        </w:rPr>
        <w:t>Uebersetzung</w:t>
      </w:r>
      <w:proofErr w:type="spellEnd"/>
      <w:r w:rsidRPr="00925DB3">
        <w:rPr>
          <w:sz w:val="20"/>
          <w:szCs w:val="20"/>
          <w:lang w:val="de-DE"/>
        </w:rPr>
        <w:t xml:space="preserve"> des Buchs von Howard Williams ‚The </w:t>
      </w:r>
      <w:proofErr w:type="spellStart"/>
      <w:r w:rsidRPr="00925DB3">
        <w:rPr>
          <w:sz w:val="20"/>
          <w:szCs w:val="20"/>
          <w:lang w:val="de-DE"/>
        </w:rPr>
        <w:t>Ethics</w:t>
      </w:r>
      <w:proofErr w:type="spellEnd"/>
      <w:r w:rsidRPr="00925DB3">
        <w:rPr>
          <w:sz w:val="20"/>
          <w:szCs w:val="20"/>
          <w:lang w:val="de-DE"/>
        </w:rPr>
        <w:t xml:space="preserve"> </w:t>
      </w:r>
      <w:proofErr w:type="spellStart"/>
      <w:r w:rsidRPr="00925DB3">
        <w:rPr>
          <w:sz w:val="20"/>
          <w:szCs w:val="20"/>
          <w:lang w:val="de-DE"/>
        </w:rPr>
        <w:t>of</w:t>
      </w:r>
      <w:proofErr w:type="spellEnd"/>
      <w:r w:rsidRPr="00925DB3">
        <w:rPr>
          <w:sz w:val="20"/>
          <w:szCs w:val="20"/>
          <w:lang w:val="de-DE"/>
        </w:rPr>
        <w:t xml:space="preserve"> </w:t>
      </w:r>
      <w:proofErr w:type="spellStart"/>
      <w:r w:rsidRPr="00925DB3">
        <w:rPr>
          <w:sz w:val="20"/>
          <w:szCs w:val="20"/>
          <w:lang w:val="de-DE"/>
        </w:rPr>
        <w:t>Diet</w:t>
      </w:r>
      <w:proofErr w:type="spellEnd"/>
      <w:r w:rsidRPr="00925DB3">
        <w:rPr>
          <w:sz w:val="20"/>
          <w:szCs w:val="20"/>
          <w:lang w:val="de-DE"/>
        </w:rPr>
        <w:t>‘ bestimmte und der er den Titel ‚Die erste Stufe‘ gab.“ (3)</w:t>
      </w:r>
    </w:p>
  </w:footnote>
  <w:footnote w:id="28">
    <w:p w:rsidR="005A2D3B" w:rsidRPr="00925DB3" w:rsidRDefault="005A2D3B" w:rsidP="00925DB3">
      <w:pPr>
        <w:rPr>
          <w:sz w:val="20"/>
          <w:szCs w:val="20"/>
          <w:lang w:val="de-DE"/>
        </w:rPr>
      </w:pPr>
      <w:r w:rsidRPr="00925DB3">
        <w:rPr>
          <w:rStyle w:val="FootnoteReference"/>
          <w:sz w:val="20"/>
          <w:szCs w:val="20"/>
        </w:rPr>
        <w:footnoteRef/>
      </w:r>
      <w:r w:rsidRPr="00925DB3">
        <w:rPr>
          <w:sz w:val="20"/>
          <w:szCs w:val="20"/>
          <w:lang w:val="de-DE"/>
        </w:rPr>
        <w:t xml:space="preserve"> </w:t>
      </w:r>
      <w:r w:rsidR="00973D4A">
        <w:rPr>
          <w:sz w:val="20"/>
          <w:szCs w:val="20"/>
          <w:lang w:val="de-DE"/>
        </w:rPr>
        <w:t xml:space="preserve">Ebd., 9. </w:t>
      </w:r>
      <w:r w:rsidRPr="00925DB3">
        <w:rPr>
          <w:sz w:val="20"/>
          <w:szCs w:val="20"/>
          <w:lang w:val="de-DE"/>
        </w:rPr>
        <w:t xml:space="preserve">„Es war klar, </w:t>
      </w:r>
      <w:proofErr w:type="spellStart"/>
      <w:r w:rsidRPr="00925DB3">
        <w:rPr>
          <w:sz w:val="20"/>
          <w:szCs w:val="20"/>
          <w:lang w:val="de-DE"/>
        </w:rPr>
        <w:t>daß</w:t>
      </w:r>
      <w:proofErr w:type="spellEnd"/>
      <w:r w:rsidRPr="00925DB3">
        <w:rPr>
          <w:sz w:val="20"/>
          <w:szCs w:val="20"/>
          <w:lang w:val="de-DE"/>
        </w:rPr>
        <w:t xml:space="preserve"> ein Mensch, der keine Gewalt über sich hat, den viele Lüste beherrschen und der ihnen unterworfen ist, kein gutes Leben führen könne.“ (</w:t>
      </w:r>
      <w:r w:rsidR="00973D4A">
        <w:rPr>
          <w:sz w:val="20"/>
          <w:szCs w:val="20"/>
          <w:lang w:val="de-DE"/>
        </w:rPr>
        <w:t xml:space="preserve">Ebd., </w:t>
      </w:r>
      <w:r w:rsidRPr="00925DB3">
        <w:rPr>
          <w:sz w:val="20"/>
          <w:szCs w:val="20"/>
          <w:lang w:val="de-DE"/>
        </w:rPr>
        <w:t>16</w:t>
      </w:r>
      <w:proofErr w:type="gramStart"/>
      <w:r w:rsidRPr="00925DB3">
        <w:rPr>
          <w:sz w:val="20"/>
          <w:szCs w:val="20"/>
          <w:lang w:val="de-DE"/>
        </w:rPr>
        <w:t>) .</w:t>
      </w:r>
      <w:proofErr w:type="gramEnd"/>
    </w:p>
  </w:footnote>
  <w:footnote w:id="29">
    <w:p w:rsidR="005A2D3B" w:rsidRPr="00925DB3" w:rsidRDefault="005A2D3B" w:rsidP="00925DB3">
      <w:pPr>
        <w:pStyle w:val="FootnoteText"/>
        <w:rPr>
          <w:lang w:val="de-DE"/>
        </w:rPr>
      </w:pPr>
      <w:r w:rsidRPr="00925DB3">
        <w:rPr>
          <w:rStyle w:val="FootnoteReference"/>
        </w:rPr>
        <w:footnoteRef/>
      </w:r>
      <w:r w:rsidRPr="00925DB3">
        <w:rPr>
          <w:lang w:val="de-DE"/>
        </w:rPr>
        <w:t xml:space="preserve"> und Thomas von Aquin war ihm gefolgt, dabei war der lateinische Terminus </w:t>
      </w:r>
      <w:proofErr w:type="spellStart"/>
      <w:r w:rsidRPr="00925DB3">
        <w:rPr>
          <w:lang w:val="de-DE"/>
        </w:rPr>
        <w:t>incontentia</w:t>
      </w:r>
      <w:proofErr w:type="spellEnd"/>
      <w:r w:rsidRPr="00925DB3">
        <w:rPr>
          <w:lang w:val="de-DE"/>
        </w:rPr>
        <w:t xml:space="preserve"> (die englische Übersetzung für </w:t>
      </w:r>
      <w:proofErr w:type="spellStart"/>
      <w:r w:rsidRPr="00925DB3">
        <w:rPr>
          <w:lang w:val="de-DE"/>
        </w:rPr>
        <w:t>akrasia</w:t>
      </w:r>
      <w:proofErr w:type="spellEnd"/>
      <w:r w:rsidRPr="00925DB3">
        <w:rPr>
          <w:lang w:val="de-DE"/>
        </w:rPr>
        <w:t xml:space="preserve"> war noch bis vor kurzem </w:t>
      </w:r>
      <w:proofErr w:type="spellStart"/>
      <w:r w:rsidRPr="00925DB3">
        <w:rPr>
          <w:lang w:val="de-DE"/>
        </w:rPr>
        <w:t>incontinence</w:t>
      </w:r>
      <w:proofErr w:type="spellEnd"/>
      <w:r w:rsidRPr="00925DB3">
        <w:rPr>
          <w:lang w:val="de-DE"/>
        </w:rPr>
        <w:t>).</w:t>
      </w:r>
    </w:p>
  </w:footnote>
  <w:footnote w:id="30">
    <w:p w:rsidR="00723E5A" w:rsidRPr="00973D4A" w:rsidRDefault="00723E5A" w:rsidP="00925DB3">
      <w:pPr>
        <w:rPr>
          <w:b/>
          <w:lang w:val="de-DE"/>
        </w:rPr>
      </w:pPr>
      <w:r w:rsidRPr="00925DB3">
        <w:rPr>
          <w:rStyle w:val="FootnoteReference"/>
          <w:sz w:val="20"/>
          <w:szCs w:val="20"/>
        </w:rPr>
        <w:footnoteRef/>
      </w:r>
      <w:r w:rsidRPr="00925DB3">
        <w:rPr>
          <w:sz w:val="20"/>
          <w:szCs w:val="20"/>
          <w:lang w:val="de-DE"/>
        </w:rPr>
        <w:t xml:space="preserve"> </w:t>
      </w:r>
      <w:r w:rsidR="00973D4A" w:rsidRPr="00973D4A">
        <w:rPr>
          <w:sz w:val="20"/>
          <w:szCs w:val="20"/>
          <w:lang w:val="de-DE"/>
        </w:rPr>
        <w:t>Leo N. Tolstoi: Mein Glaube. Von dem Verfasser genehmigte Ausgabe von Raphael Löwenfeld. Leipzig: Diederichs, 1902, 276-277.</w:t>
      </w:r>
      <w:r w:rsidR="00973D4A" w:rsidRPr="00925DB3">
        <w:rPr>
          <w:sz w:val="20"/>
          <w:szCs w:val="20"/>
          <w:lang w:val="de-DE"/>
        </w:rPr>
        <w:t xml:space="preserve"> </w:t>
      </w:r>
      <w:r w:rsidRPr="00925DB3">
        <w:rPr>
          <w:sz w:val="20"/>
          <w:szCs w:val="20"/>
          <w:lang w:val="de-DE"/>
        </w:rPr>
        <w:t>„Arbeit ist die notwendige Bedingung des menschlichen Lebens. Und Arbeit verleiht dem Menschen Glückseligkeit.“ (</w:t>
      </w:r>
      <w:r w:rsidR="00973D4A">
        <w:rPr>
          <w:sz w:val="20"/>
          <w:szCs w:val="20"/>
          <w:lang w:val="de-DE"/>
        </w:rPr>
        <w:t>Ebd.</w:t>
      </w:r>
      <w:r w:rsidRPr="00925DB3">
        <w:rPr>
          <w:sz w:val="20"/>
          <w:szCs w:val="20"/>
          <w:lang w:val="de-DE"/>
        </w:rPr>
        <w:t>, 283)</w:t>
      </w:r>
    </w:p>
  </w:footnote>
  <w:footnote w:id="31">
    <w:p w:rsidR="00973D4A" w:rsidRPr="00973D4A" w:rsidRDefault="00973D4A">
      <w:pPr>
        <w:pStyle w:val="FootnoteText"/>
        <w:rPr>
          <w:lang w:val="de-DE"/>
        </w:rPr>
      </w:pPr>
      <w:r>
        <w:rPr>
          <w:rStyle w:val="FootnoteReference"/>
        </w:rPr>
        <w:footnoteRef/>
      </w:r>
      <w:r>
        <w:rPr>
          <w:rStyle w:val="FootnoteReference"/>
        </w:rPr>
        <w:footnoteRef/>
      </w:r>
      <w:r w:rsidRPr="00973D4A">
        <w:rPr>
          <w:lang w:val="de-DE"/>
        </w:rPr>
        <w:t xml:space="preserve"> </w:t>
      </w:r>
      <w:r>
        <w:rPr>
          <w:lang w:val="de-DE"/>
        </w:rPr>
        <w:t>Ebd., 191.</w:t>
      </w:r>
    </w:p>
  </w:footnote>
  <w:footnote w:id="32">
    <w:p w:rsidR="009026D2" w:rsidRPr="00925DB3" w:rsidRDefault="009026D2" w:rsidP="00925DB3">
      <w:pPr>
        <w:rPr>
          <w:sz w:val="20"/>
          <w:szCs w:val="20"/>
          <w:lang w:val="de-DE"/>
        </w:rPr>
      </w:pPr>
      <w:r w:rsidRPr="00925DB3">
        <w:rPr>
          <w:rStyle w:val="FootnoteReference"/>
          <w:sz w:val="20"/>
          <w:szCs w:val="20"/>
        </w:rPr>
        <w:footnoteRef/>
      </w:r>
      <w:r w:rsidRPr="00925DB3">
        <w:rPr>
          <w:sz w:val="20"/>
          <w:szCs w:val="20"/>
          <w:lang w:val="de-DE"/>
        </w:rPr>
        <w:t xml:space="preserve"> „Und mein ganzes Land ist durchsetzt von derartigen Unermüdlichen, Putzmunteren, bis hin zu den sogenannten Führungskräften“ (Peter Handke: Versuch über die Müdigkeit. Frankfurt am Main: Suhrkamp, 1992, 31)</w:t>
      </w:r>
    </w:p>
  </w:footnote>
  <w:footnote w:id="33">
    <w:p w:rsidR="00653935" w:rsidRPr="00925DB3" w:rsidRDefault="00653935" w:rsidP="00925DB3">
      <w:pPr>
        <w:pStyle w:val="FootnoteText"/>
        <w:rPr>
          <w:lang w:val="de-DE"/>
        </w:rPr>
      </w:pPr>
      <w:r w:rsidRPr="00925DB3">
        <w:rPr>
          <w:rStyle w:val="FootnoteReference"/>
        </w:rPr>
        <w:footnoteRef/>
      </w:r>
      <w:r w:rsidRPr="00925DB3">
        <w:rPr>
          <w:lang w:val="de-DE"/>
        </w:rPr>
        <w:t xml:space="preserve"> </w:t>
      </w:r>
      <w:r w:rsidR="00973D4A" w:rsidRPr="00925DB3">
        <w:rPr>
          <w:lang w:val="de-DE"/>
        </w:rPr>
        <w:t xml:space="preserve">Leo Tolstoi: </w:t>
      </w:r>
      <w:r w:rsidR="00973D4A" w:rsidRPr="00494F1C">
        <w:rPr>
          <w:i/>
          <w:lang w:val="de-DE"/>
        </w:rPr>
        <w:t>Die</w:t>
      </w:r>
      <w:r w:rsidR="00973D4A">
        <w:rPr>
          <w:lang w:val="de-DE"/>
        </w:rPr>
        <w:t xml:space="preserve"> </w:t>
      </w:r>
      <w:proofErr w:type="spellStart"/>
      <w:r w:rsidR="00973D4A" w:rsidRPr="00925DB3">
        <w:rPr>
          <w:i/>
          <w:lang w:val="de-DE"/>
        </w:rPr>
        <w:t>Kreutzersonate</w:t>
      </w:r>
      <w:proofErr w:type="spellEnd"/>
      <w:r w:rsidR="00973D4A" w:rsidRPr="00925DB3">
        <w:rPr>
          <w:lang w:val="de-DE"/>
        </w:rPr>
        <w:t xml:space="preserve">. Übersetzt vom Bibliographischen Bureau zu Berlin. Mit einer Einleitung von Raphael Löwenfeld. Vierte Auflage. Berlin: </w:t>
      </w:r>
      <w:proofErr w:type="spellStart"/>
      <w:r w:rsidR="00973D4A" w:rsidRPr="00925DB3">
        <w:rPr>
          <w:lang w:val="de-DE"/>
        </w:rPr>
        <w:t>Behr’s</w:t>
      </w:r>
      <w:proofErr w:type="spellEnd"/>
      <w:r w:rsidR="00973D4A" w:rsidRPr="00925DB3">
        <w:rPr>
          <w:lang w:val="de-DE"/>
        </w:rPr>
        <w:t xml:space="preserve"> Buchhandlung, 1890</w:t>
      </w:r>
      <w:r w:rsidRPr="00925DB3">
        <w:rPr>
          <w:lang w:val="de-DE"/>
        </w:rPr>
        <w:t>, 72</w:t>
      </w:r>
      <w:r w:rsidR="00973D4A">
        <w:rPr>
          <w:lang w:val="de-DE"/>
        </w:rPr>
        <w:t>.</w:t>
      </w:r>
    </w:p>
  </w:footnote>
  <w:footnote w:id="34">
    <w:p w:rsidR="002C2BF9" w:rsidRPr="00925DB3" w:rsidRDefault="002C2BF9" w:rsidP="00925DB3">
      <w:pPr>
        <w:rPr>
          <w:sz w:val="20"/>
          <w:szCs w:val="20"/>
          <w:lang w:val="de-DE"/>
        </w:rPr>
      </w:pPr>
      <w:r w:rsidRPr="00925DB3">
        <w:rPr>
          <w:rStyle w:val="FootnoteReference"/>
          <w:sz w:val="20"/>
          <w:szCs w:val="20"/>
        </w:rPr>
        <w:footnoteRef/>
      </w:r>
      <w:r w:rsidRPr="00466D18">
        <w:rPr>
          <w:sz w:val="20"/>
          <w:szCs w:val="20"/>
        </w:rPr>
        <w:t xml:space="preserve"> </w:t>
      </w:r>
      <w:r w:rsidR="00973D4A" w:rsidRPr="00466D18">
        <w:rPr>
          <w:rFonts w:ascii="-webkit-standard" w:hAnsi="-webkit-standard"/>
          <w:color w:val="000000"/>
          <w:sz w:val="20"/>
          <w:szCs w:val="20"/>
        </w:rPr>
        <w:t>[</w:t>
      </w:r>
      <w:r w:rsidR="002460E1" w:rsidRPr="00466D18">
        <w:rPr>
          <w:sz w:val="20"/>
          <w:szCs w:val="20"/>
        </w:rPr>
        <w:t>“</w:t>
      </w:r>
      <w:proofErr w:type="spellStart"/>
      <w:r w:rsidR="002460E1" w:rsidRPr="00466D18">
        <w:rPr>
          <w:sz w:val="20"/>
          <w:szCs w:val="20"/>
        </w:rPr>
        <w:t>Je</w:t>
      </w:r>
      <w:proofErr w:type="spellEnd"/>
      <w:r w:rsidR="002460E1" w:rsidRPr="00466D18">
        <w:rPr>
          <w:sz w:val="20"/>
          <w:szCs w:val="20"/>
        </w:rPr>
        <w:t xml:space="preserve"> </w:t>
      </w:r>
      <w:proofErr w:type="spellStart"/>
      <w:r w:rsidR="002460E1" w:rsidRPr="00466D18">
        <w:rPr>
          <w:sz w:val="20"/>
          <w:szCs w:val="20"/>
        </w:rPr>
        <w:t>considère</w:t>
      </w:r>
      <w:proofErr w:type="spellEnd"/>
      <w:r w:rsidR="002460E1" w:rsidRPr="00466D18">
        <w:rPr>
          <w:sz w:val="20"/>
          <w:szCs w:val="20"/>
        </w:rPr>
        <w:t xml:space="preserve"> la guerre </w:t>
      </w:r>
      <w:proofErr w:type="spellStart"/>
      <w:r w:rsidR="002460E1" w:rsidRPr="00466D18">
        <w:rPr>
          <w:sz w:val="20"/>
          <w:szCs w:val="20"/>
        </w:rPr>
        <w:t>comme</w:t>
      </w:r>
      <w:proofErr w:type="spellEnd"/>
      <w:r w:rsidR="002460E1" w:rsidRPr="00466D18">
        <w:rPr>
          <w:sz w:val="20"/>
          <w:szCs w:val="20"/>
        </w:rPr>
        <w:t xml:space="preserve"> </w:t>
      </w:r>
      <w:proofErr w:type="spellStart"/>
      <w:r w:rsidR="002460E1" w:rsidRPr="00466D18">
        <w:rPr>
          <w:sz w:val="20"/>
          <w:szCs w:val="20"/>
        </w:rPr>
        <w:t>une</w:t>
      </w:r>
      <w:proofErr w:type="spellEnd"/>
      <w:r w:rsidR="002460E1" w:rsidRPr="00466D18">
        <w:rPr>
          <w:sz w:val="20"/>
          <w:szCs w:val="20"/>
        </w:rPr>
        <w:t xml:space="preserve"> </w:t>
      </w:r>
      <w:proofErr w:type="spellStart"/>
      <w:r w:rsidR="002460E1" w:rsidRPr="00466D18">
        <w:rPr>
          <w:sz w:val="20"/>
          <w:szCs w:val="20"/>
        </w:rPr>
        <w:t>fatalité</w:t>
      </w:r>
      <w:proofErr w:type="spellEnd"/>
      <w:r w:rsidR="002460E1" w:rsidRPr="00466D18">
        <w:rPr>
          <w:sz w:val="20"/>
          <w:szCs w:val="20"/>
        </w:rPr>
        <w:t xml:space="preserve"> </w:t>
      </w:r>
      <w:proofErr w:type="spellStart"/>
      <w:r w:rsidR="002460E1" w:rsidRPr="00466D18">
        <w:rPr>
          <w:sz w:val="20"/>
          <w:szCs w:val="20"/>
        </w:rPr>
        <w:t>nécessaire</w:t>
      </w:r>
      <w:proofErr w:type="spellEnd"/>
      <w:r w:rsidR="002460E1" w:rsidRPr="00466D18">
        <w:rPr>
          <w:sz w:val="20"/>
          <w:szCs w:val="20"/>
        </w:rPr>
        <w:t xml:space="preserve"> et à </w:t>
      </w:r>
      <w:proofErr w:type="spellStart"/>
      <w:r w:rsidR="002460E1" w:rsidRPr="00466D18">
        <w:rPr>
          <w:sz w:val="20"/>
          <w:szCs w:val="20"/>
        </w:rPr>
        <w:t>laquelle</w:t>
      </w:r>
      <w:proofErr w:type="spellEnd"/>
      <w:r w:rsidR="002460E1" w:rsidRPr="00466D18">
        <w:rPr>
          <w:sz w:val="20"/>
          <w:szCs w:val="20"/>
        </w:rPr>
        <w:t xml:space="preserve"> </w:t>
      </w:r>
      <w:proofErr w:type="spellStart"/>
      <w:r w:rsidR="002460E1" w:rsidRPr="00466D18">
        <w:rPr>
          <w:sz w:val="20"/>
          <w:szCs w:val="20"/>
        </w:rPr>
        <w:t>il</w:t>
      </w:r>
      <w:proofErr w:type="spellEnd"/>
      <w:r w:rsidR="002460E1" w:rsidRPr="00466D18">
        <w:rPr>
          <w:sz w:val="20"/>
          <w:szCs w:val="20"/>
        </w:rPr>
        <w:t xml:space="preserve"> ne nous </w:t>
      </w:r>
      <w:proofErr w:type="spellStart"/>
      <w:r w:rsidR="002460E1" w:rsidRPr="00466D18">
        <w:rPr>
          <w:sz w:val="20"/>
          <w:szCs w:val="20"/>
        </w:rPr>
        <w:t>appartient</w:t>
      </w:r>
      <w:proofErr w:type="spellEnd"/>
      <w:r w:rsidR="002460E1" w:rsidRPr="00466D18">
        <w:rPr>
          <w:sz w:val="20"/>
          <w:szCs w:val="20"/>
        </w:rPr>
        <w:t xml:space="preserve"> pas </w:t>
      </w:r>
      <w:proofErr w:type="spellStart"/>
      <w:r w:rsidR="002460E1" w:rsidRPr="00466D18">
        <w:rPr>
          <w:sz w:val="20"/>
          <w:szCs w:val="20"/>
        </w:rPr>
        <w:t>d'échapper</w:t>
      </w:r>
      <w:proofErr w:type="spellEnd"/>
      <w:r w:rsidR="002460E1" w:rsidRPr="00466D18">
        <w:rPr>
          <w:sz w:val="20"/>
          <w:szCs w:val="20"/>
        </w:rPr>
        <w:t xml:space="preserve">, </w:t>
      </w:r>
      <w:proofErr w:type="spellStart"/>
      <w:r w:rsidR="002460E1" w:rsidRPr="00466D18">
        <w:rPr>
          <w:sz w:val="20"/>
          <w:szCs w:val="20"/>
        </w:rPr>
        <w:t>parce</w:t>
      </w:r>
      <w:proofErr w:type="spellEnd"/>
      <w:r w:rsidR="002460E1" w:rsidRPr="00466D18">
        <w:rPr>
          <w:sz w:val="20"/>
          <w:szCs w:val="20"/>
        </w:rPr>
        <w:t xml:space="preserve"> </w:t>
      </w:r>
      <w:proofErr w:type="spellStart"/>
      <w:r w:rsidR="002460E1" w:rsidRPr="00466D18">
        <w:rPr>
          <w:sz w:val="20"/>
          <w:szCs w:val="20"/>
        </w:rPr>
        <w:t>qu'elle</w:t>
      </w:r>
      <w:proofErr w:type="spellEnd"/>
      <w:r w:rsidR="002460E1" w:rsidRPr="00466D18">
        <w:rPr>
          <w:sz w:val="20"/>
          <w:szCs w:val="20"/>
        </w:rPr>
        <w:t xml:space="preserve"> </w:t>
      </w:r>
      <w:proofErr w:type="spellStart"/>
      <w:r w:rsidR="002460E1" w:rsidRPr="00466D18">
        <w:rPr>
          <w:sz w:val="20"/>
          <w:szCs w:val="20"/>
        </w:rPr>
        <w:t>est</w:t>
      </w:r>
      <w:proofErr w:type="spellEnd"/>
      <w:r w:rsidR="002460E1" w:rsidRPr="00466D18">
        <w:rPr>
          <w:sz w:val="20"/>
          <w:szCs w:val="20"/>
        </w:rPr>
        <w:t xml:space="preserve">, </w:t>
      </w:r>
      <w:proofErr w:type="spellStart"/>
      <w:r w:rsidR="002460E1" w:rsidRPr="00466D18">
        <w:rPr>
          <w:sz w:val="20"/>
          <w:szCs w:val="20"/>
        </w:rPr>
        <w:t>en</w:t>
      </w:r>
      <w:proofErr w:type="spellEnd"/>
      <w:r w:rsidR="002460E1" w:rsidRPr="00466D18">
        <w:rPr>
          <w:sz w:val="20"/>
          <w:szCs w:val="20"/>
        </w:rPr>
        <w:t xml:space="preserve"> </w:t>
      </w:r>
      <w:proofErr w:type="spellStart"/>
      <w:r w:rsidR="002460E1" w:rsidRPr="00466D18">
        <w:rPr>
          <w:sz w:val="20"/>
          <w:szCs w:val="20"/>
        </w:rPr>
        <w:t>quelque</w:t>
      </w:r>
      <w:proofErr w:type="spellEnd"/>
      <w:r w:rsidR="002460E1" w:rsidRPr="00466D18">
        <w:rPr>
          <w:sz w:val="20"/>
          <w:szCs w:val="20"/>
        </w:rPr>
        <w:t xml:space="preserve"> </w:t>
      </w:r>
      <w:proofErr w:type="spellStart"/>
      <w:r w:rsidR="002460E1" w:rsidRPr="00466D18">
        <w:rPr>
          <w:sz w:val="20"/>
          <w:szCs w:val="20"/>
        </w:rPr>
        <w:t>sorte</w:t>
      </w:r>
      <w:proofErr w:type="spellEnd"/>
      <w:r w:rsidR="002460E1" w:rsidRPr="00466D18">
        <w:rPr>
          <w:sz w:val="20"/>
          <w:szCs w:val="20"/>
        </w:rPr>
        <w:t xml:space="preserve">, </w:t>
      </w:r>
      <w:proofErr w:type="spellStart"/>
      <w:r w:rsidR="002460E1" w:rsidRPr="00466D18">
        <w:rPr>
          <w:sz w:val="20"/>
          <w:szCs w:val="20"/>
        </w:rPr>
        <w:t>inhérente</w:t>
      </w:r>
      <w:proofErr w:type="spellEnd"/>
      <w:r w:rsidR="002460E1" w:rsidRPr="00466D18">
        <w:rPr>
          <w:sz w:val="20"/>
          <w:szCs w:val="20"/>
        </w:rPr>
        <w:t xml:space="preserve"> à la nature </w:t>
      </w:r>
      <w:proofErr w:type="spellStart"/>
      <w:r w:rsidR="002460E1" w:rsidRPr="00466D18">
        <w:rPr>
          <w:sz w:val="20"/>
          <w:szCs w:val="20"/>
        </w:rPr>
        <w:t>humaine</w:t>
      </w:r>
      <w:proofErr w:type="spellEnd"/>
      <w:r w:rsidR="002460E1" w:rsidRPr="00466D18">
        <w:rPr>
          <w:sz w:val="20"/>
          <w:szCs w:val="20"/>
        </w:rPr>
        <w:t xml:space="preserve">, à la </w:t>
      </w:r>
      <w:proofErr w:type="spellStart"/>
      <w:r w:rsidR="002460E1" w:rsidRPr="00466D18">
        <w:rPr>
          <w:sz w:val="20"/>
          <w:szCs w:val="20"/>
        </w:rPr>
        <w:t>création</w:t>
      </w:r>
      <w:proofErr w:type="spellEnd"/>
      <w:r w:rsidR="002460E1" w:rsidRPr="00466D18">
        <w:rPr>
          <w:sz w:val="20"/>
          <w:szCs w:val="20"/>
        </w:rPr>
        <w:t xml:space="preserve">. </w:t>
      </w:r>
      <w:r w:rsidR="002460E1" w:rsidRPr="00CE1D82">
        <w:rPr>
          <w:sz w:val="20"/>
          <w:szCs w:val="20"/>
        </w:rPr>
        <w:t xml:space="preserve">[…] On a </w:t>
      </w:r>
      <w:proofErr w:type="spellStart"/>
      <w:r w:rsidR="002460E1" w:rsidRPr="00CE1D82">
        <w:rPr>
          <w:sz w:val="20"/>
          <w:szCs w:val="20"/>
        </w:rPr>
        <w:t>parlé</w:t>
      </w:r>
      <w:proofErr w:type="spellEnd"/>
      <w:r w:rsidR="002460E1" w:rsidRPr="00CE1D82">
        <w:rPr>
          <w:sz w:val="20"/>
          <w:szCs w:val="20"/>
        </w:rPr>
        <w:t xml:space="preserve"> et on </w:t>
      </w:r>
      <w:proofErr w:type="spellStart"/>
      <w:r w:rsidR="002460E1" w:rsidRPr="00CE1D82">
        <w:rPr>
          <w:sz w:val="20"/>
          <w:szCs w:val="20"/>
        </w:rPr>
        <w:t>parle</w:t>
      </w:r>
      <w:proofErr w:type="spellEnd"/>
      <w:r w:rsidR="002460E1" w:rsidRPr="00CE1D82">
        <w:rPr>
          <w:sz w:val="20"/>
          <w:szCs w:val="20"/>
        </w:rPr>
        <w:t xml:space="preserve"> encore de </w:t>
      </w:r>
      <w:proofErr w:type="spellStart"/>
      <w:r w:rsidR="002460E1" w:rsidRPr="00CE1D82">
        <w:rPr>
          <w:sz w:val="20"/>
          <w:szCs w:val="20"/>
        </w:rPr>
        <w:t>désarmement</w:t>
      </w:r>
      <w:proofErr w:type="spellEnd"/>
      <w:r w:rsidR="002460E1" w:rsidRPr="00CE1D82">
        <w:rPr>
          <w:sz w:val="20"/>
          <w:szCs w:val="20"/>
        </w:rPr>
        <w:t xml:space="preserve">. </w:t>
      </w:r>
      <w:proofErr w:type="spellStart"/>
      <w:r w:rsidR="002460E1" w:rsidRPr="00CE1D82">
        <w:rPr>
          <w:sz w:val="20"/>
          <w:szCs w:val="20"/>
        </w:rPr>
        <w:t>C'est</w:t>
      </w:r>
      <w:proofErr w:type="spellEnd"/>
      <w:r w:rsidR="002460E1" w:rsidRPr="00CE1D82">
        <w:rPr>
          <w:sz w:val="20"/>
          <w:szCs w:val="20"/>
        </w:rPr>
        <w:t xml:space="preserve"> </w:t>
      </w:r>
      <w:proofErr w:type="spellStart"/>
      <w:r w:rsidR="002460E1" w:rsidRPr="00CE1D82">
        <w:rPr>
          <w:sz w:val="20"/>
          <w:szCs w:val="20"/>
        </w:rPr>
        <w:t>là</w:t>
      </w:r>
      <w:proofErr w:type="spellEnd"/>
      <w:r w:rsidR="002460E1" w:rsidRPr="00CE1D82">
        <w:rPr>
          <w:sz w:val="20"/>
          <w:szCs w:val="20"/>
        </w:rPr>
        <w:t xml:space="preserve"> </w:t>
      </w:r>
      <w:proofErr w:type="spellStart"/>
      <w:r w:rsidR="002460E1" w:rsidRPr="00CE1D82">
        <w:rPr>
          <w:sz w:val="20"/>
          <w:szCs w:val="20"/>
        </w:rPr>
        <w:t>une</w:t>
      </w:r>
      <w:proofErr w:type="spellEnd"/>
      <w:r w:rsidR="002460E1" w:rsidRPr="00CE1D82">
        <w:rPr>
          <w:sz w:val="20"/>
          <w:szCs w:val="20"/>
        </w:rPr>
        <w:t xml:space="preserve"> </w:t>
      </w:r>
      <w:proofErr w:type="spellStart"/>
      <w:r w:rsidR="002460E1" w:rsidRPr="00CE1D82">
        <w:rPr>
          <w:sz w:val="20"/>
          <w:szCs w:val="20"/>
        </w:rPr>
        <w:t>éventualité</w:t>
      </w:r>
      <w:proofErr w:type="spellEnd"/>
      <w:r w:rsidR="002460E1" w:rsidRPr="00CE1D82">
        <w:rPr>
          <w:sz w:val="20"/>
          <w:szCs w:val="20"/>
        </w:rPr>
        <w:t xml:space="preserve"> impossible, et, </w:t>
      </w:r>
      <w:proofErr w:type="spellStart"/>
      <w:r w:rsidR="002460E1" w:rsidRPr="00CE1D82">
        <w:rPr>
          <w:sz w:val="20"/>
          <w:szCs w:val="20"/>
        </w:rPr>
        <w:t>alors</w:t>
      </w:r>
      <w:proofErr w:type="spellEnd"/>
      <w:r w:rsidR="002460E1" w:rsidRPr="00CE1D82">
        <w:rPr>
          <w:sz w:val="20"/>
          <w:szCs w:val="20"/>
        </w:rPr>
        <w:t xml:space="preserve"> </w:t>
      </w:r>
      <w:proofErr w:type="spellStart"/>
      <w:r w:rsidR="002460E1" w:rsidRPr="00CE1D82">
        <w:rPr>
          <w:sz w:val="20"/>
          <w:szCs w:val="20"/>
        </w:rPr>
        <w:t>même</w:t>
      </w:r>
      <w:proofErr w:type="spellEnd"/>
      <w:r w:rsidR="002460E1" w:rsidRPr="00CE1D82">
        <w:rPr>
          <w:sz w:val="20"/>
          <w:szCs w:val="20"/>
        </w:rPr>
        <w:t xml:space="preserve"> </w:t>
      </w:r>
      <w:proofErr w:type="spellStart"/>
      <w:r w:rsidR="002460E1" w:rsidRPr="00CE1D82">
        <w:rPr>
          <w:sz w:val="20"/>
          <w:szCs w:val="20"/>
        </w:rPr>
        <w:t>qu'elle</w:t>
      </w:r>
      <w:proofErr w:type="spellEnd"/>
      <w:r w:rsidR="002460E1" w:rsidRPr="00CE1D82">
        <w:rPr>
          <w:sz w:val="20"/>
          <w:szCs w:val="20"/>
        </w:rPr>
        <w:t xml:space="preserve"> </w:t>
      </w:r>
      <w:proofErr w:type="spellStart"/>
      <w:r w:rsidR="002460E1" w:rsidRPr="00CE1D82">
        <w:rPr>
          <w:sz w:val="20"/>
          <w:szCs w:val="20"/>
        </w:rPr>
        <w:t>serait</w:t>
      </w:r>
      <w:proofErr w:type="spellEnd"/>
      <w:r w:rsidR="002460E1" w:rsidRPr="00CE1D82">
        <w:rPr>
          <w:sz w:val="20"/>
          <w:szCs w:val="20"/>
        </w:rPr>
        <w:t xml:space="preserve"> possible, nous </w:t>
      </w:r>
      <w:proofErr w:type="spellStart"/>
      <w:r w:rsidR="002460E1" w:rsidRPr="00CE1D82">
        <w:rPr>
          <w:sz w:val="20"/>
          <w:szCs w:val="20"/>
        </w:rPr>
        <w:t>devrions</w:t>
      </w:r>
      <w:proofErr w:type="spellEnd"/>
      <w:r w:rsidR="002460E1" w:rsidRPr="00CE1D82">
        <w:rPr>
          <w:sz w:val="20"/>
          <w:szCs w:val="20"/>
        </w:rPr>
        <w:t xml:space="preserve"> la </w:t>
      </w:r>
      <w:proofErr w:type="spellStart"/>
      <w:r w:rsidR="002460E1" w:rsidRPr="00CE1D82">
        <w:rPr>
          <w:sz w:val="20"/>
          <w:szCs w:val="20"/>
        </w:rPr>
        <w:t>repousser</w:t>
      </w:r>
      <w:proofErr w:type="spellEnd"/>
      <w:r w:rsidR="002460E1" w:rsidRPr="00CE1D82">
        <w:rPr>
          <w:sz w:val="20"/>
          <w:szCs w:val="20"/>
        </w:rPr>
        <w:t xml:space="preserve">. Un </w:t>
      </w:r>
      <w:proofErr w:type="spellStart"/>
      <w:r w:rsidR="002460E1" w:rsidRPr="00CE1D82">
        <w:rPr>
          <w:sz w:val="20"/>
          <w:szCs w:val="20"/>
        </w:rPr>
        <w:t>peuple</w:t>
      </w:r>
      <w:proofErr w:type="spellEnd"/>
      <w:r w:rsidR="002460E1" w:rsidRPr="00CE1D82">
        <w:rPr>
          <w:sz w:val="20"/>
          <w:szCs w:val="20"/>
        </w:rPr>
        <w:t xml:space="preserve"> </w:t>
      </w:r>
      <w:proofErr w:type="spellStart"/>
      <w:r w:rsidR="002460E1" w:rsidRPr="00CE1D82">
        <w:rPr>
          <w:sz w:val="20"/>
          <w:szCs w:val="20"/>
        </w:rPr>
        <w:t>n'est</w:t>
      </w:r>
      <w:proofErr w:type="spellEnd"/>
      <w:r w:rsidR="002460E1" w:rsidRPr="00CE1D82">
        <w:rPr>
          <w:sz w:val="20"/>
          <w:szCs w:val="20"/>
        </w:rPr>
        <w:t xml:space="preserve"> fort, </w:t>
      </w:r>
      <w:proofErr w:type="spellStart"/>
      <w:r w:rsidR="002460E1" w:rsidRPr="00CE1D82">
        <w:rPr>
          <w:sz w:val="20"/>
          <w:szCs w:val="20"/>
        </w:rPr>
        <w:t>n'est</w:t>
      </w:r>
      <w:proofErr w:type="spellEnd"/>
      <w:r w:rsidR="002460E1" w:rsidRPr="00CE1D82">
        <w:rPr>
          <w:sz w:val="20"/>
          <w:szCs w:val="20"/>
        </w:rPr>
        <w:t xml:space="preserve"> grand </w:t>
      </w:r>
      <w:proofErr w:type="spellStart"/>
      <w:r w:rsidR="002460E1" w:rsidRPr="00CE1D82">
        <w:rPr>
          <w:sz w:val="20"/>
          <w:szCs w:val="20"/>
        </w:rPr>
        <w:t>qu'autant</w:t>
      </w:r>
      <w:proofErr w:type="spellEnd"/>
      <w:r w:rsidR="002460E1" w:rsidRPr="00CE1D82">
        <w:rPr>
          <w:sz w:val="20"/>
          <w:szCs w:val="20"/>
        </w:rPr>
        <w:t xml:space="preserve"> </w:t>
      </w:r>
      <w:proofErr w:type="spellStart"/>
      <w:r w:rsidR="002460E1" w:rsidRPr="00CE1D82">
        <w:rPr>
          <w:sz w:val="20"/>
          <w:szCs w:val="20"/>
        </w:rPr>
        <w:t>qu'il</w:t>
      </w:r>
      <w:proofErr w:type="spellEnd"/>
      <w:r w:rsidR="002460E1" w:rsidRPr="00CE1D82">
        <w:rPr>
          <w:sz w:val="20"/>
          <w:szCs w:val="20"/>
        </w:rPr>
        <w:t xml:space="preserve"> </w:t>
      </w:r>
      <w:proofErr w:type="spellStart"/>
      <w:r w:rsidR="002460E1" w:rsidRPr="00CE1D82">
        <w:rPr>
          <w:sz w:val="20"/>
          <w:szCs w:val="20"/>
        </w:rPr>
        <w:t>est</w:t>
      </w:r>
      <w:proofErr w:type="spellEnd"/>
      <w:r w:rsidR="002460E1" w:rsidRPr="00CE1D82">
        <w:rPr>
          <w:sz w:val="20"/>
          <w:szCs w:val="20"/>
        </w:rPr>
        <w:t xml:space="preserve"> </w:t>
      </w:r>
      <w:proofErr w:type="spellStart"/>
      <w:r w:rsidR="002460E1" w:rsidRPr="00CE1D82">
        <w:rPr>
          <w:sz w:val="20"/>
          <w:szCs w:val="20"/>
        </w:rPr>
        <w:t>armé</w:t>
      </w:r>
      <w:proofErr w:type="spellEnd"/>
      <w:r w:rsidR="002460E1" w:rsidRPr="00CE1D82">
        <w:rPr>
          <w:sz w:val="20"/>
          <w:szCs w:val="20"/>
        </w:rPr>
        <w:t xml:space="preserve">, et </w:t>
      </w:r>
      <w:proofErr w:type="spellStart"/>
      <w:r w:rsidR="002460E1" w:rsidRPr="00CE1D82">
        <w:rPr>
          <w:sz w:val="20"/>
          <w:szCs w:val="20"/>
        </w:rPr>
        <w:t>je</w:t>
      </w:r>
      <w:proofErr w:type="spellEnd"/>
      <w:r w:rsidR="002460E1" w:rsidRPr="00CE1D82">
        <w:rPr>
          <w:sz w:val="20"/>
          <w:szCs w:val="20"/>
        </w:rPr>
        <w:t xml:space="preserve"> </w:t>
      </w:r>
      <w:proofErr w:type="spellStart"/>
      <w:r w:rsidR="002460E1" w:rsidRPr="00CE1D82">
        <w:rPr>
          <w:sz w:val="20"/>
          <w:szCs w:val="20"/>
        </w:rPr>
        <w:t>suis</w:t>
      </w:r>
      <w:proofErr w:type="spellEnd"/>
      <w:r w:rsidR="002460E1" w:rsidRPr="00CE1D82">
        <w:rPr>
          <w:sz w:val="20"/>
          <w:szCs w:val="20"/>
        </w:rPr>
        <w:t xml:space="preserve"> </w:t>
      </w:r>
      <w:proofErr w:type="spellStart"/>
      <w:r w:rsidR="002460E1" w:rsidRPr="00CE1D82">
        <w:rPr>
          <w:sz w:val="20"/>
          <w:szCs w:val="20"/>
        </w:rPr>
        <w:t>convaincu</w:t>
      </w:r>
      <w:proofErr w:type="spellEnd"/>
      <w:r w:rsidR="002460E1" w:rsidRPr="00CE1D82">
        <w:rPr>
          <w:sz w:val="20"/>
          <w:szCs w:val="20"/>
        </w:rPr>
        <w:t xml:space="preserve"> que le </w:t>
      </w:r>
      <w:proofErr w:type="spellStart"/>
      <w:r w:rsidR="002460E1" w:rsidRPr="00CE1D82">
        <w:rPr>
          <w:sz w:val="20"/>
          <w:szCs w:val="20"/>
        </w:rPr>
        <w:t>désarmement</w:t>
      </w:r>
      <w:proofErr w:type="spellEnd"/>
      <w:r w:rsidR="002460E1" w:rsidRPr="00CE1D82">
        <w:rPr>
          <w:sz w:val="20"/>
          <w:szCs w:val="20"/>
        </w:rPr>
        <w:t xml:space="preserve"> </w:t>
      </w:r>
      <w:proofErr w:type="spellStart"/>
      <w:r w:rsidR="002460E1" w:rsidRPr="00CE1D82">
        <w:rPr>
          <w:sz w:val="20"/>
          <w:szCs w:val="20"/>
        </w:rPr>
        <w:t>aurait</w:t>
      </w:r>
      <w:proofErr w:type="spellEnd"/>
      <w:r w:rsidR="002460E1" w:rsidRPr="00CE1D82">
        <w:rPr>
          <w:sz w:val="20"/>
          <w:szCs w:val="20"/>
        </w:rPr>
        <w:t xml:space="preserve"> pour </w:t>
      </w:r>
      <w:proofErr w:type="spellStart"/>
      <w:r w:rsidR="002460E1" w:rsidRPr="00CE1D82">
        <w:rPr>
          <w:sz w:val="20"/>
          <w:szCs w:val="20"/>
        </w:rPr>
        <w:t>résultat</w:t>
      </w:r>
      <w:proofErr w:type="spellEnd"/>
      <w:r w:rsidR="002460E1" w:rsidRPr="00CE1D82">
        <w:rPr>
          <w:sz w:val="20"/>
          <w:szCs w:val="20"/>
        </w:rPr>
        <w:t xml:space="preserve"> </w:t>
      </w:r>
      <w:proofErr w:type="spellStart"/>
      <w:r w:rsidR="002460E1" w:rsidRPr="00CE1D82">
        <w:rPr>
          <w:sz w:val="20"/>
          <w:szCs w:val="20"/>
        </w:rPr>
        <w:t>d'entraîner</w:t>
      </w:r>
      <w:proofErr w:type="spellEnd"/>
      <w:r w:rsidR="002460E1" w:rsidRPr="00CE1D82">
        <w:rPr>
          <w:sz w:val="20"/>
          <w:szCs w:val="20"/>
        </w:rPr>
        <w:t xml:space="preserve"> </w:t>
      </w:r>
      <w:proofErr w:type="spellStart"/>
      <w:r w:rsidR="002460E1" w:rsidRPr="00CE1D82">
        <w:rPr>
          <w:sz w:val="20"/>
          <w:szCs w:val="20"/>
        </w:rPr>
        <w:t>dans</w:t>
      </w:r>
      <w:proofErr w:type="spellEnd"/>
      <w:r w:rsidR="002460E1" w:rsidRPr="00CE1D82">
        <w:rPr>
          <w:sz w:val="20"/>
          <w:szCs w:val="20"/>
        </w:rPr>
        <w:t xml:space="preserve"> le monde </w:t>
      </w:r>
      <w:proofErr w:type="spellStart"/>
      <w:r w:rsidR="002460E1" w:rsidRPr="00CE1D82">
        <w:rPr>
          <w:sz w:val="20"/>
          <w:szCs w:val="20"/>
        </w:rPr>
        <w:t>entier</w:t>
      </w:r>
      <w:proofErr w:type="spellEnd"/>
      <w:r w:rsidR="002460E1" w:rsidRPr="00CE1D82">
        <w:rPr>
          <w:sz w:val="20"/>
          <w:szCs w:val="20"/>
        </w:rPr>
        <w:t xml:space="preserve"> </w:t>
      </w:r>
      <w:proofErr w:type="spellStart"/>
      <w:r w:rsidR="002460E1" w:rsidRPr="00CE1D82">
        <w:rPr>
          <w:sz w:val="20"/>
          <w:szCs w:val="20"/>
        </w:rPr>
        <w:t>une</w:t>
      </w:r>
      <w:proofErr w:type="spellEnd"/>
      <w:r w:rsidR="002460E1" w:rsidRPr="00CE1D82">
        <w:rPr>
          <w:sz w:val="20"/>
          <w:szCs w:val="20"/>
        </w:rPr>
        <w:t xml:space="preserve"> </w:t>
      </w:r>
      <w:proofErr w:type="spellStart"/>
      <w:r w:rsidR="002460E1" w:rsidRPr="00CE1D82">
        <w:rPr>
          <w:sz w:val="20"/>
          <w:szCs w:val="20"/>
        </w:rPr>
        <w:t>sorte</w:t>
      </w:r>
      <w:proofErr w:type="spellEnd"/>
      <w:r w:rsidR="002460E1" w:rsidRPr="00CE1D82">
        <w:rPr>
          <w:sz w:val="20"/>
          <w:szCs w:val="20"/>
        </w:rPr>
        <w:t xml:space="preserve"> de </w:t>
      </w:r>
      <w:proofErr w:type="spellStart"/>
      <w:r w:rsidR="002460E1" w:rsidRPr="00CE1D82">
        <w:rPr>
          <w:sz w:val="20"/>
          <w:szCs w:val="20"/>
        </w:rPr>
        <w:t>déchéance</w:t>
      </w:r>
      <w:proofErr w:type="spellEnd"/>
      <w:r w:rsidR="002460E1" w:rsidRPr="00CE1D82">
        <w:rPr>
          <w:sz w:val="20"/>
          <w:szCs w:val="20"/>
        </w:rPr>
        <w:t xml:space="preserve"> morale, </w:t>
      </w:r>
      <w:proofErr w:type="spellStart"/>
      <w:r w:rsidR="002460E1" w:rsidRPr="00CE1D82">
        <w:rPr>
          <w:sz w:val="20"/>
          <w:szCs w:val="20"/>
        </w:rPr>
        <w:t>d'affaissement</w:t>
      </w:r>
      <w:proofErr w:type="spellEnd"/>
      <w:r w:rsidR="002460E1" w:rsidRPr="00CE1D82">
        <w:rPr>
          <w:sz w:val="20"/>
          <w:szCs w:val="20"/>
        </w:rPr>
        <w:t xml:space="preserve"> </w:t>
      </w:r>
      <w:proofErr w:type="spellStart"/>
      <w:r w:rsidR="002460E1" w:rsidRPr="00CE1D82">
        <w:rPr>
          <w:sz w:val="20"/>
          <w:szCs w:val="20"/>
        </w:rPr>
        <w:t>général</w:t>
      </w:r>
      <w:proofErr w:type="spellEnd"/>
      <w:r w:rsidR="002460E1" w:rsidRPr="00CE1D82">
        <w:rPr>
          <w:sz w:val="20"/>
          <w:szCs w:val="20"/>
        </w:rPr>
        <w:t xml:space="preserve"> qui </w:t>
      </w:r>
      <w:proofErr w:type="spellStart"/>
      <w:r w:rsidR="002460E1" w:rsidRPr="00CE1D82">
        <w:rPr>
          <w:sz w:val="20"/>
          <w:szCs w:val="20"/>
        </w:rPr>
        <w:t>entraverait</w:t>
      </w:r>
      <w:proofErr w:type="spellEnd"/>
      <w:r w:rsidR="002460E1" w:rsidRPr="00CE1D82">
        <w:rPr>
          <w:sz w:val="20"/>
          <w:szCs w:val="20"/>
        </w:rPr>
        <w:t xml:space="preserve"> la </w:t>
      </w:r>
      <w:proofErr w:type="spellStart"/>
      <w:r w:rsidR="002460E1" w:rsidRPr="00CE1D82">
        <w:rPr>
          <w:sz w:val="20"/>
          <w:szCs w:val="20"/>
        </w:rPr>
        <w:t>marche</w:t>
      </w:r>
      <w:proofErr w:type="spellEnd"/>
      <w:r w:rsidR="002460E1" w:rsidRPr="00CE1D82">
        <w:rPr>
          <w:sz w:val="20"/>
          <w:szCs w:val="20"/>
        </w:rPr>
        <w:t xml:space="preserve"> </w:t>
      </w:r>
      <w:proofErr w:type="spellStart"/>
      <w:r w:rsidR="002460E1" w:rsidRPr="00CE1D82">
        <w:rPr>
          <w:sz w:val="20"/>
          <w:szCs w:val="20"/>
        </w:rPr>
        <w:t>en</w:t>
      </w:r>
      <w:proofErr w:type="spellEnd"/>
      <w:r w:rsidR="002460E1" w:rsidRPr="00CE1D82">
        <w:rPr>
          <w:sz w:val="20"/>
          <w:szCs w:val="20"/>
        </w:rPr>
        <w:t xml:space="preserve"> </w:t>
      </w:r>
      <w:proofErr w:type="spellStart"/>
      <w:r w:rsidR="002460E1" w:rsidRPr="00CE1D82">
        <w:rPr>
          <w:sz w:val="20"/>
          <w:szCs w:val="20"/>
        </w:rPr>
        <w:t>avant</w:t>
      </w:r>
      <w:proofErr w:type="spellEnd"/>
      <w:r w:rsidR="002460E1" w:rsidRPr="00CE1D82">
        <w:rPr>
          <w:sz w:val="20"/>
          <w:szCs w:val="20"/>
        </w:rPr>
        <w:t xml:space="preserve"> de </w:t>
      </w:r>
      <w:proofErr w:type="spellStart"/>
      <w:r w:rsidR="002460E1" w:rsidRPr="00CE1D82">
        <w:rPr>
          <w:sz w:val="20"/>
          <w:szCs w:val="20"/>
        </w:rPr>
        <w:t>l'humanité</w:t>
      </w:r>
      <w:proofErr w:type="spellEnd"/>
      <w:r w:rsidR="002460E1" w:rsidRPr="00CE1D82">
        <w:rPr>
          <w:sz w:val="20"/>
          <w:szCs w:val="20"/>
        </w:rPr>
        <w:t xml:space="preserve">. </w:t>
      </w:r>
      <w:r w:rsidR="002460E1" w:rsidRPr="00925DB3">
        <w:rPr>
          <w:sz w:val="20"/>
          <w:szCs w:val="20"/>
        </w:rPr>
        <w:t xml:space="preserve">Une nation </w:t>
      </w:r>
      <w:proofErr w:type="spellStart"/>
      <w:r w:rsidR="002460E1" w:rsidRPr="00925DB3">
        <w:rPr>
          <w:sz w:val="20"/>
          <w:szCs w:val="20"/>
        </w:rPr>
        <w:t>guerrière</w:t>
      </w:r>
      <w:proofErr w:type="spellEnd"/>
      <w:r w:rsidR="002460E1" w:rsidRPr="00925DB3">
        <w:rPr>
          <w:sz w:val="20"/>
          <w:szCs w:val="20"/>
        </w:rPr>
        <w:t xml:space="preserve"> a </w:t>
      </w:r>
      <w:proofErr w:type="spellStart"/>
      <w:r w:rsidR="002460E1" w:rsidRPr="00925DB3">
        <w:rPr>
          <w:sz w:val="20"/>
          <w:szCs w:val="20"/>
        </w:rPr>
        <w:t>toujours</w:t>
      </w:r>
      <w:proofErr w:type="spellEnd"/>
      <w:r w:rsidR="002460E1" w:rsidRPr="00925DB3">
        <w:rPr>
          <w:sz w:val="20"/>
          <w:szCs w:val="20"/>
        </w:rPr>
        <w:t xml:space="preserve"> </w:t>
      </w:r>
      <w:proofErr w:type="spellStart"/>
      <w:r w:rsidR="002460E1" w:rsidRPr="00925DB3">
        <w:rPr>
          <w:sz w:val="20"/>
          <w:szCs w:val="20"/>
        </w:rPr>
        <w:t>prospéré</w:t>
      </w:r>
      <w:proofErr w:type="spellEnd"/>
      <w:r w:rsidR="002460E1" w:rsidRPr="00925DB3">
        <w:rPr>
          <w:sz w:val="20"/>
          <w:szCs w:val="20"/>
        </w:rPr>
        <w:t xml:space="preserve">, et </w:t>
      </w:r>
      <w:proofErr w:type="spellStart"/>
      <w:r w:rsidR="002460E1" w:rsidRPr="00925DB3">
        <w:rPr>
          <w:sz w:val="20"/>
          <w:szCs w:val="20"/>
        </w:rPr>
        <w:t>tous</w:t>
      </w:r>
      <w:proofErr w:type="spellEnd"/>
      <w:r w:rsidR="002460E1" w:rsidRPr="00925DB3">
        <w:rPr>
          <w:sz w:val="20"/>
          <w:szCs w:val="20"/>
        </w:rPr>
        <w:t xml:space="preserve"> les </w:t>
      </w:r>
      <w:proofErr w:type="spellStart"/>
      <w:r w:rsidR="002460E1" w:rsidRPr="00925DB3">
        <w:rPr>
          <w:sz w:val="20"/>
          <w:szCs w:val="20"/>
        </w:rPr>
        <w:t>autres</w:t>
      </w:r>
      <w:proofErr w:type="spellEnd"/>
      <w:r w:rsidR="002460E1" w:rsidRPr="00925DB3">
        <w:rPr>
          <w:sz w:val="20"/>
          <w:szCs w:val="20"/>
        </w:rPr>
        <w:t xml:space="preserve"> arts se </w:t>
      </w:r>
      <w:proofErr w:type="spellStart"/>
      <w:r w:rsidR="002460E1" w:rsidRPr="00925DB3">
        <w:rPr>
          <w:sz w:val="20"/>
          <w:szCs w:val="20"/>
        </w:rPr>
        <w:t>sont</w:t>
      </w:r>
      <w:proofErr w:type="spellEnd"/>
      <w:r w:rsidR="002460E1" w:rsidRPr="00925DB3">
        <w:rPr>
          <w:sz w:val="20"/>
          <w:szCs w:val="20"/>
        </w:rPr>
        <w:t xml:space="preserve"> </w:t>
      </w:r>
      <w:proofErr w:type="spellStart"/>
      <w:r w:rsidR="002460E1" w:rsidRPr="00925DB3">
        <w:rPr>
          <w:sz w:val="20"/>
          <w:szCs w:val="20"/>
        </w:rPr>
        <w:t>développés</w:t>
      </w:r>
      <w:proofErr w:type="spellEnd"/>
      <w:r w:rsidR="002460E1" w:rsidRPr="00925DB3">
        <w:rPr>
          <w:sz w:val="20"/>
          <w:szCs w:val="20"/>
        </w:rPr>
        <w:t xml:space="preserve"> </w:t>
      </w:r>
      <w:proofErr w:type="spellStart"/>
      <w:r w:rsidR="002460E1" w:rsidRPr="00925DB3">
        <w:rPr>
          <w:sz w:val="20"/>
          <w:szCs w:val="20"/>
        </w:rPr>
        <w:t>en</w:t>
      </w:r>
      <w:proofErr w:type="spellEnd"/>
      <w:r w:rsidR="002460E1" w:rsidRPr="00925DB3">
        <w:rPr>
          <w:sz w:val="20"/>
          <w:szCs w:val="20"/>
        </w:rPr>
        <w:t xml:space="preserve"> raison </w:t>
      </w:r>
      <w:proofErr w:type="spellStart"/>
      <w:r w:rsidR="002460E1" w:rsidRPr="00925DB3">
        <w:rPr>
          <w:sz w:val="20"/>
          <w:szCs w:val="20"/>
        </w:rPr>
        <w:t>directe</w:t>
      </w:r>
      <w:proofErr w:type="spellEnd"/>
      <w:r w:rsidR="002460E1" w:rsidRPr="00925DB3">
        <w:rPr>
          <w:sz w:val="20"/>
          <w:szCs w:val="20"/>
        </w:rPr>
        <w:t xml:space="preserve"> de </w:t>
      </w:r>
      <w:proofErr w:type="spellStart"/>
      <w:r w:rsidR="002460E1" w:rsidRPr="00925DB3">
        <w:rPr>
          <w:sz w:val="20"/>
          <w:szCs w:val="20"/>
        </w:rPr>
        <w:t>l'art</w:t>
      </w:r>
      <w:proofErr w:type="spellEnd"/>
      <w:r w:rsidR="002460E1" w:rsidRPr="00925DB3">
        <w:rPr>
          <w:sz w:val="20"/>
          <w:szCs w:val="20"/>
        </w:rPr>
        <w:t xml:space="preserve"> de la guerre.”</w:t>
      </w:r>
      <w:r w:rsidR="00973D4A">
        <w:rPr>
          <w:sz w:val="20"/>
          <w:szCs w:val="20"/>
        </w:rPr>
        <w:t>]</w:t>
      </w:r>
      <w:r w:rsidR="002460E1" w:rsidRPr="00925DB3">
        <w:rPr>
          <w:sz w:val="20"/>
          <w:szCs w:val="20"/>
        </w:rPr>
        <w:t xml:space="preserve"> </w:t>
      </w:r>
      <w:r w:rsidRPr="00925DB3">
        <w:rPr>
          <w:sz w:val="20"/>
          <w:szCs w:val="20"/>
          <w:lang w:val="de-DE"/>
        </w:rPr>
        <w:t>“</w:t>
      </w:r>
      <w:proofErr w:type="spellStart"/>
      <w:r w:rsidRPr="00925DB3">
        <w:rPr>
          <w:sz w:val="20"/>
          <w:szCs w:val="20"/>
          <w:lang w:val="de-DE"/>
        </w:rPr>
        <w:t>Chez</w:t>
      </w:r>
      <w:proofErr w:type="spellEnd"/>
      <w:r w:rsidRPr="00925DB3">
        <w:rPr>
          <w:sz w:val="20"/>
          <w:szCs w:val="20"/>
          <w:lang w:val="de-DE"/>
        </w:rPr>
        <w:t xml:space="preserve"> M. Émile Zola. </w:t>
      </w:r>
      <w:proofErr w:type="spellStart"/>
      <w:r w:rsidRPr="00925DB3">
        <w:rPr>
          <w:sz w:val="20"/>
          <w:szCs w:val="20"/>
          <w:lang w:val="de-DE"/>
        </w:rPr>
        <w:t>L’opinion</w:t>
      </w:r>
      <w:proofErr w:type="spellEnd"/>
      <w:r w:rsidRPr="00925DB3">
        <w:rPr>
          <w:sz w:val="20"/>
          <w:szCs w:val="20"/>
          <w:lang w:val="de-DE"/>
        </w:rPr>
        <w:t xml:space="preserve"> de </w:t>
      </w:r>
      <w:proofErr w:type="spellStart"/>
      <w:r w:rsidRPr="00925DB3">
        <w:rPr>
          <w:sz w:val="20"/>
          <w:szCs w:val="20"/>
          <w:lang w:val="de-DE"/>
        </w:rPr>
        <w:t>l’auteur</w:t>
      </w:r>
      <w:proofErr w:type="spellEnd"/>
      <w:r w:rsidRPr="00925DB3">
        <w:rPr>
          <w:sz w:val="20"/>
          <w:szCs w:val="20"/>
          <w:lang w:val="de-DE"/>
        </w:rPr>
        <w:t xml:space="preserve"> de la ‘</w:t>
      </w:r>
      <w:proofErr w:type="spellStart"/>
      <w:r w:rsidRPr="00925DB3">
        <w:rPr>
          <w:sz w:val="20"/>
          <w:szCs w:val="20"/>
          <w:lang w:val="de-DE"/>
        </w:rPr>
        <w:t>guerre</w:t>
      </w:r>
      <w:proofErr w:type="spellEnd"/>
      <w:r w:rsidRPr="00925DB3">
        <w:rPr>
          <w:sz w:val="20"/>
          <w:szCs w:val="20"/>
          <w:lang w:val="de-DE"/>
        </w:rPr>
        <w:t xml:space="preserve">’ </w:t>
      </w:r>
      <w:proofErr w:type="spellStart"/>
      <w:r w:rsidRPr="00925DB3">
        <w:rPr>
          <w:sz w:val="20"/>
          <w:szCs w:val="20"/>
          <w:lang w:val="de-DE"/>
        </w:rPr>
        <w:t>sur</w:t>
      </w:r>
      <w:proofErr w:type="spellEnd"/>
      <w:r w:rsidRPr="00925DB3">
        <w:rPr>
          <w:sz w:val="20"/>
          <w:szCs w:val="20"/>
          <w:lang w:val="de-DE"/>
        </w:rPr>
        <w:t xml:space="preserve"> la </w:t>
      </w:r>
      <w:proofErr w:type="spellStart"/>
      <w:r w:rsidRPr="00925DB3">
        <w:rPr>
          <w:sz w:val="20"/>
          <w:szCs w:val="20"/>
          <w:lang w:val="de-DE"/>
        </w:rPr>
        <w:t>guerre</w:t>
      </w:r>
      <w:proofErr w:type="spellEnd"/>
      <w:r w:rsidRPr="00925DB3">
        <w:rPr>
          <w:sz w:val="20"/>
          <w:szCs w:val="20"/>
          <w:lang w:val="de-DE"/>
        </w:rPr>
        <w:t>”</w:t>
      </w:r>
      <w:r w:rsidR="00973D4A">
        <w:rPr>
          <w:sz w:val="20"/>
          <w:szCs w:val="20"/>
          <w:lang w:val="de-DE"/>
        </w:rPr>
        <w:t>, i</w:t>
      </w:r>
      <w:r w:rsidRPr="00925DB3">
        <w:rPr>
          <w:sz w:val="20"/>
          <w:szCs w:val="20"/>
          <w:lang w:val="de-DE"/>
        </w:rPr>
        <w:t xml:space="preserve">n: </w:t>
      </w:r>
      <w:r w:rsidRPr="00973D4A">
        <w:rPr>
          <w:i/>
          <w:sz w:val="20"/>
          <w:szCs w:val="20"/>
          <w:lang w:val="de-DE"/>
        </w:rPr>
        <w:t>Le Matin</w:t>
      </w:r>
      <w:r w:rsidRPr="00925DB3">
        <w:rPr>
          <w:sz w:val="20"/>
          <w:szCs w:val="20"/>
          <w:lang w:val="de-DE"/>
        </w:rPr>
        <w:t xml:space="preserve">, 4. August 1981, 1. </w:t>
      </w:r>
    </w:p>
  </w:footnote>
  <w:footnote w:id="35">
    <w:p w:rsidR="002C2BF9" w:rsidRPr="00925DB3" w:rsidRDefault="002C2BF9" w:rsidP="00925DB3">
      <w:pPr>
        <w:rPr>
          <w:sz w:val="20"/>
          <w:szCs w:val="20"/>
          <w:lang w:val="de-DE"/>
        </w:rPr>
      </w:pPr>
      <w:r w:rsidRPr="00925DB3">
        <w:rPr>
          <w:rStyle w:val="FootnoteReference"/>
          <w:sz w:val="20"/>
          <w:szCs w:val="20"/>
        </w:rPr>
        <w:footnoteRef/>
      </w:r>
      <w:r w:rsidRPr="00925DB3">
        <w:rPr>
          <w:sz w:val="20"/>
          <w:szCs w:val="20"/>
          <w:lang w:val="de-DE"/>
        </w:rPr>
        <w:t xml:space="preserve"> Zit. nach J. van </w:t>
      </w:r>
      <w:proofErr w:type="spellStart"/>
      <w:r w:rsidRPr="00925DB3">
        <w:rPr>
          <w:sz w:val="20"/>
          <w:szCs w:val="20"/>
          <w:lang w:val="de-DE"/>
        </w:rPr>
        <w:t>Santen-Kolff</w:t>
      </w:r>
      <w:proofErr w:type="spellEnd"/>
      <w:r w:rsidRPr="00925DB3">
        <w:rPr>
          <w:sz w:val="20"/>
          <w:szCs w:val="20"/>
          <w:lang w:val="de-DE"/>
        </w:rPr>
        <w:t xml:space="preserve">: „Zur Genesis des </w:t>
      </w:r>
      <w:proofErr w:type="spellStart"/>
      <w:r w:rsidRPr="00925DB3">
        <w:rPr>
          <w:sz w:val="20"/>
          <w:szCs w:val="20"/>
          <w:lang w:val="de-DE"/>
        </w:rPr>
        <w:t>Zola’schen</w:t>
      </w:r>
      <w:proofErr w:type="spellEnd"/>
      <w:r w:rsidRPr="00925DB3">
        <w:rPr>
          <w:sz w:val="20"/>
          <w:szCs w:val="20"/>
          <w:lang w:val="de-DE"/>
        </w:rPr>
        <w:t xml:space="preserve"> Kriegsromans“. In: </w:t>
      </w:r>
      <w:r w:rsidRPr="00973D4A">
        <w:rPr>
          <w:i/>
          <w:sz w:val="20"/>
          <w:szCs w:val="20"/>
          <w:lang w:val="de-DE"/>
        </w:rPr>
        <w:t>Freie Bühne für den Entwickelungskampf der Zeit. III. Jahrgang, Erstes und zweites Quartal</w:t>
      </w:r>
      <w:r w:rsidRPr="00925DB3">
        <w:rPr>
          <w:sz w:val="20"/>
          <w:szCs w:val="20"/>
          <w:lang w:val="de-DE"/>
        </w:rPr>
        <w:t>, 1892, 288-296, hier: 295.</w:t>
      </w:r>
    </w:p>
  </w:footnote>
  <w:footnote w:id="36">
    <w:p w:rsidR="002C2BF9" w:rsidRPr="00925DB3" w:rsidRDefault="002C2BF9" w:rsidP="00925DB3">
      <w:pPr>
        <w:pStyle w:val="FootnoteText"/>
        <w:rPr>
          <w:lang w:val="en-CA"/>
        </w:rPr>
      </w:pPr>
      <w:r w:rsidRPr="00925DB3">
        <w:rPr>
          <w:rStyle w:val="FootnoteReference"/>
        </w:rPr>
        <w:footnoteRef/>
      </w:r>
      <w:r w:rsidRPr="00925DB3">
        <w:t xml:space="preserve"> </w:t>
      </w:r>
      <w:r w:rsidR="00973D4A">
        <w:t>[</w:t>
      </w:r>
      <w:r w:rsidR="002460E1" w:rsidRPr="00925DB3">
        <w:t>„</w:t>
      </w:r>
      <w:proofErr w:type="spellStart"/>
      <w:r w:rsidR="002460E1" w:rsidRPr="00925DB3">
        <w:t>cette</w:t>
      </w:r>
      <w:proofErr w:type="spellEnd"/>
      <w:r w:rsidR="002460E1" w:rsidRPr="00925DB3">
        <w:t xml:space="preserve"> </w:t>
      </w:r>
      <w:proofErr w:type="spellStart"/>
      <w:r w:rsidR="002460E1" w:rsidRPr="00925DB3">
        <w:t>r</w:t>
      </w:r>
      <w:r w:rsidR="002460E1" w:rsidRPr="00925DB3">
        <w:rPr>
          <w:rFonts w:ascii="Calibri" w:hAnsi="Calibri" w:cs="Calibri"/>
        </w:rPr>
        <w:t>égénération</w:t>
      </w:r>
      <w:proofErr w:type="spellEnd"/>
      <w:r w:rsidR="002460E1" w:rsidRPr="00925DB3">
        <w:rPr>
          <w:rFonts w:ascii="Calibri" w:hAnsi="Calibri" w:cs="Calibri"/>
        </w:rPr>
        <w:t xml:space="preserve"> </w:t>
      </w:r>
      <w:proofErr w:type="spellStart"/>
      <w:r w:rsidR="002460E1" w:rsidRPr="00925DB3">
        <w:rPr>
          <w:rFonts w:ascii="Calibri" w:hAnsi="Calibri" w:cs="Calibri"/>
        </w:rPr>
        <w:t>par</w:t>
      </w:r>
      <w:proofErr w:type="spellEnd"/>
      <w:r w:rsidR="002460E1" w:rsidRPr="00925DB3">
        <w:rPr>
          <w:rFonts w:ascii="Calibri" w:hAnsi="Calibri" w:cs="Calibri"/>
        </w:rPr>
        <w:t xml:space="preserve"> la </w:t>
      </w:r>
      <w:proofErr w:type="spellStart"/>
      <w:r w:rsidR="002460E1" w:rsidRPr="00925DB3">
        <w:rPr>
          <w:rFonts w:ascii="Calibri" w:hAnsi="Calibri" w:cs="Calibri"/>
        </w:rPr>
        <w:t>douleur</w:t>
      </w:r>
      <w:proofErr w:type="spellEnd"/>
      <w:r w:rsidR="002460E1" w:rsidRPr="00925DB3">
        <w:rPr>
          <w:rFonts w:ascii="Calibri" w:hAnsi="Calibri" w:cs="Calibri"/>
        </w:rPr>
        <w:t xml:space="preserve">, née de </w:t>
      </w:r>
      <w:proofErr w:type="spellStart"/>
      <w:r w:rsidR="002460E1" w:rsidRPr="00925DB3">
        <w:rPr>
          <w:rFonts w:ascii="Calibri" w:hAnsi="Calibri" w:cs="Calibri"/>
        </w:rPr>
        <w:t>l’excès</w:t>
      </w:r>
      <w:proofErr w:type="spellEnd"/>
      <w:r w:rsidR="002460E1" w:rsidRPr="00925DB3">
        <w:rPr>
          <w:rFonts w:ascii="Calibri" w:hAnsi="Calibri" w:cs="Calibri"/>
        </w:rPr>
        <w:t xml:space="preserve"> </w:t>
      </w:r>
      <w:proofErr w:type="spellStart"/>
      <w:r w:rsidR="002460E1" w:rsidRPr="00925DB3">
        <w:rPr>
          <w:rFonts w:ascii="Calibri" w:hAnsi="Calibri" w:cs="Calibri"/>
        </w:rPr>
        <w:t>même</w:t>
      </w:r>
      <w:proofErr w:type="spellEnd"/>
      <w:r w:rsidR="002460E1" w:rsidRPr="00925DB3">
        <w:rPr>
          <w:rFonts w:ascii="Calibri" w:hAnsi="Calibri" w:cs="Calibri"/>
        </w:rPr>
        <w:t xml:space="preserve"> de </w:t>
      </w:r>
      <w:proofErr w:type="spellStart"/>
      <w:r w:rsidR="002460E1" w:rsidRPr="00925DB3">
        <w:rPr>
          <w:rFonts w:ascii="Calibri" w:hAnsi="Calibri" w:cs="Calibri"/>
        </w:rPr>
        <w:t>nos</w:t>
      </w:r>
      <w:proofErr w:type="spellEnd"/>
      <w:r w:rsidR="002460E1" w:rsidRPr="00925DB3">
        <w:rPr>
          <w:rFonts w:ascii="Calibri" w:hAnsi="Calibri" w:cs="Calibri"/>
        </w:rPr>
        <w:t xml:space="preserve"> revers”</w:t>
      </w:r>
      <w:r w:rsidR="00973D4A">
        <w:rPr>
          <w:rFonts w:ascii="Calibri" w:hAnsi="Calibri" w:cs="Calibri"/>
        </w:rPr>
        <w:t>]</w:t>
      </w:r>
      <w:r w:rsidR="002460E1" w:rsidRPr="00925DB3">
        <w:rPr>
          <w:rFonts w:ascii="Calibri" w:hAnsi="Calibri" w:cs="Calibri"/>
        </w:rPr>
        <w:t xml:space="preserve"> </w:t>
      </w:r>
      <w:proofErr w:type="spellStart"/>
      <w:r w:rsidRPr="00925DB3">
        <w:rPr>
          <w:lang w:val="en-CA"/>
        </w:rPr>
        <w:t>Emila</w:t>
      </w:r>
      <w:proofErr w:type="spellEnd"/>
      <w:r w:rsidRPr="00925DB3">
        <w:rPr>
          <w:lang w:val="en-CA"/>
        </w:rPr>
        <w:t xml:space="preserve"> Zola: „</w:t>
      </w:r>
      <w:proofErr w:type="gramStart"/>
      <w:r w:rsidRPr="00925DB3">
        <w:rPr>
          <w:lang w:val="en-CA"/>
        </w:rPr>
        <w:t>Sedan“</w:t>
      </w:r>
      <w:proofErr w:type="gramEnd"/>
      <w:r w:rsidRPr="00925DB3">
        <w:rPr>
          <w:lang w:val="en-CA"/>
        </w:rPr>
        <w:t xml:space="preserve">. In: </w:t>
      </w:r>
      <w:r w:rsidRPr="00925DB3">
        <w:rPr>
          <w:i/>
          <w:lang w:val="en-CA"/>
        </w:rPr>
        <w:t>Le Figaro</w:t>
      </w:r>
      <w:r w:rsidRPr="00925DB3">
        <w:rPr>
          <w:lang w:val="en-CA"/>
        </w:rPr>
        <w:t>, 1. September 1891, 1.</w:t>
      </w:r>
    </w:p>
  </w:footnote>
  <w:footnote w:id="37">
    <w:p w:rsidR="002C2BF9" w:rsidRPr="00925DB3" w:rsidRDefault="002C2BF9" w:rsidP="00925DB3">
      <w:pPr>
        <w:rPr>
          <w:sz w:val="20"/>
          <w:szCs w:val="20"/>
        </w:rPr>
      </w:pPr>
      <w:r w:rsidRPr="00925DB3">
        <w:rPr>
          <w:rStyle w:val="FootnoteReference"/>
          <w:sz w:val="20"/>
          <w:szCs w:val="20"/>
        </w:rPr>
        <w:footnoteRef/>
      </w:r>
      <w:r w:rsidRPr="00925DB3">
        <w:rPr>
          <w:sz w:val="20"/>
          <w:szCs w:val="20"/>
        </w:rPr>
        <w:t xml:space="preserve"> </w:t>
      </w:r>
      <w:r w:rsidR="00973D4A">
        <w:rPr>
          <w:sz w:val="20"/>
          <w:szCs w:val="20"/>
        </w:rPr>
        <w:t>[</w:t>
      </w:r>
      <w:r w:rsidR="002460E1" w:rsidRPr="00925DB3">
        <w:rPr>
          <w:rFonts w:ascii="Calibri" w:hAnsi="Calibri" w:cs="Calibri"/>
          <w:sz w:val="20"/>
          <w:szCs w:val="20"/>
        </w:rPr>
        <w:t>“</w:t>
      </w:r>
      <w:proofErr w:type="spellStart"/>
      <w:r w:rsidR="002460E1" w:rsidRPr="00925DB3">
        <w:rPr>
          <w:rFonts w:ascii="Calibri" w:hAnsi="Calibri" w:cs="Calibri"/>
          <w:sz w:val="20"/>
          <w:szCs w:val="20"/>
        </w:rPr>
        <w:t>Oui</w:t>
      </w:r>
      <w:proofErr w:type="spellEnd"/>
      <w:r w:rsidR="002460E1" w:rsidRPr="00925DB3">
        <w:rPr>
          <w:rFonts w:ascii="Calibri" w:hAnsi="Calibri" w:cs="Calibri"/>
          <w:sz w:val="20"/>
          <w:szCs w:val="20"/>
        </w:rPr>
        <w:t xml:space="preserve">, </w:t>
      </w:r>
      <w:proofErr w:type="spellStart"/>
      <w:r w:rsidR="002460E1" w:rsidRPr="00925DB3">
        <w:rPr>
          <w:rFonts w:ascii="Calibri" w:hAnsi="Calibri" w:cs="Calibri"/>
          <w:sz w:val="20"/>
          <w:szCs w:val="20"/>
        </w:rPr>
        <w:t>il</w:t>
      </w:r>
      <w:proofErr w:type="spellEnd"/>
      <w:r w:rsidR="002460E1" w:rsidRPr="00925DB3">
        <w:rPr>
          <w:rFonts w:ascii="Calibri" w:hAnsi="Calibri" w:cs="Calibri"/>
          <w:sz w:val="20"/>
          <w:szCs w:val="20"/>
        </w:rPr>
        <w:t xml:space="preserve"> y a </w:t>
      </w:r>
      <w:proofErr w:type="spellStart"/>
      <w:r w:rsidR="002460E1" w:rsidRPr="00925DB3">
        <w:rPr>
          <w:rFonts w:ascii="Calibri" w:hAnsi="Calibri" w:cs="Calibri"/>
          <w:sz w:val="20"/>
          <w:szCs w:val="20"/>
        </w:rPr>
        <w:t>eu</w:t>
      </w:r>
      <w:proofErr w:type="spellEnd"/>
      <w:r w:rsidR="002460E1" w:rsidRPr="00925DB3">
        <w:rPr>
          <w:rFonts w:ascii="Calibri" w:hAnsi="Calibri" w:cs="Calibri"/>
          <w:sz w:val="20"/>
          <w:szCs w:val="20"/>
        </w:rPr>
        <w:t xml:space="preserve"> </w:t>
      </w:r>
      <w:proofErr w:type="spellStart"/>
      <w:r w:rsidR="002460E1" w:rsidRPr="00925DB3">
        <w:rPr>
          <w:rFonts w:ascii="Calibri" w:hAnsi="Calibri" w:cs="Calibri"/>
          <w:sz w:val="20"/>
          <w:szCs w:val="20"/>
        </w:rPr>
        <w:t>là</w:t>
      </w:r>
      <w:proofErr w:type="spellEnd"/>
      <w:r w:rsidR="002460E1" w:rsidRPr="00925DB3">
        <w:rPr>
          <w:rFonts w:ascii="Calibri" w:hAnsi="Calibri" w:cs="Calibri"/>
          <w:sz w:val="20"/>
          <w:szCs w:val="20"/>
        </w:rPr>
        <w:t xml:space="preserve"> un </w:t>
      </w:r>
      <w:proofErr w:type="spellStart"/>
      <w:r w:rsidR="002460E1" w:rsidRPr="00925DB3">
        <w:rPr>
          <w:rFonts w:ascii="Calibri" w:hAnsi="Calibri" w:cs="Calibri"/>
          <w:sz w:val="20"/>
          <w:szCs w:val="20"/>
        </w:rPr>
        <w:t>bain</w:t>
      </w:r>
      <w:proofErr w:type="spellEnd"/>
      <w:r w:rsidR="002460E1" w:rsidRPr="00925DB3">
        <w:rPr>
          <w:rFonts w:ascii="Calibri" w:hAnsi="Calibri" w:cs="Calibri"/>
          <w:sz w:val="20"/>
          <w:szCs w:val="20"/>
        </w:rPr>
        <w:t xml:space="preserve"> de sang necessaire”</w:t>
      </w:r>
      <w:r w:rsidR="00973D4A">
        <w:rPr>
          <w:rFonts w:ascii="Calibri" w:hAnsi="Calibri" w:cs="Calibri"/>
          <w:sz w:val="20"/>
          <w:szCs w:val="20"/>
        </w:rPr>
        <w:t xml:space="preserve">] </w:t>
      </w:r>
      <w:proofErr w:type="spellStart"/>
      <w:r w:rsidRPr="00925DB3">
        <w:rPr>
          <w:sz w:val="20"/>
          <w:szCs w:val="20"/>
        </w:rPr>
        <w:t>Ebd</w:t>
      </w:r>
      <w:proofErr w:type="spellEnd"/>
      <w:r w:rsidRPr="00925DB3">
        <w:rPr>
          <w:sz w:val="20"/>
          <w:szCs w:val="20"/>
        </w:rPr>
        <w:t>.</w:t>
      </w:r>
    </w:p>
  </w:footnote>
  <w:footnote w:id="38">
    <w:p w:rsidR="002C2BF9" w:rsidRPr="00925DB3" w:rsidRDefault="002C2BF9" w:rsidP="00925DB3">
      <w:pPr>
        <w:pStyle w:val="FootnoteText"/>
        <w:rPr>
          <w:lang w:val="en-CA"/>
        </w:rPr>
      </w:pPr>
      <w:r w:rsidRPr="00925DB3">
        <w:rPr>
          <w:rStyle w:val="FootnoteReference"/>
        </w:rPr>
        <w:footnoteRef/>
      </w:r>
      <w:r w:rsidRPr="00925DB3">
        <w:rPr>
          <w:lang w:val="en-CA"/>
        </w:rPr>
        <w:t xml:space="preserve"> </w:t>
      </w:r>
      <w:r w:rsidR="00973D4A">
        <w:rPr>
          <w:lang w:val="en-CA"/>
        </w:rPr>
        <w:t>[</w:t>
      </w:r>
      <w:r w:rsidR="00AF23FA" w:rsidRPr="00925DB3">
        <w:rPr>
          <w:rFonts w:ascii="Calibri" w:hAnsi="Calibri" w:cs="Calibri"/>
        </w:rPr>
        <w:t>“</w:t>
      </w:r>
      <w:proofErr w:type="spellStart"/>
      <w:r w:rsidR="00AF23FA" w:rsidRPr="00925DB3">
        <w:rPr>
          <w:rFonts w:ascii="Calibri" w:hAnsi="Calibri" w:cs="Calibri"/>
        </w:rPr>
        <w:t>Seulement</w:t>
      </w:r>
      <w:proofErr w:type="spellEnd"/>
      <w:r w:rsidR="00AF23FA" w:rsidRPr="00925DB3">
        <w:rPr>
          <w:rFonts w:ascii="Calibri" w:hAnsi="Calibri" w:cs="Calibri"/>
        </w:rPr>
        <w:t xml:space="preserve">, la guerre </w:t>
      </w:r>
      <w:proofErr w:type="spellStart"/>
      <w:r w:rsidR="00AF23FA" w:rsidRPr="00925DB3">
        <w:rPr>
          <w:rFonts w:ascii="Calibri" w:hAnsi="Calibri" w:cs="Calibri"/>
        </w:rPr>
        <w:t>est</w:t>
      </w:r>
      <w:proofErr w:type="spellEnd"/>
      <w:r w:rsidR="00AF23FA" w:rsidRPr="00925DB3">
        <w:rPr>
          <w:rFonts w:ascii="Calibri" w:hAnsi="Calibri" w:cs="Calibri"/>
        </w:rPr>
        <w:t xml:space="preserve"> </w:t>
      </w:r>
      <w:proofErr w:type="spellStart"/>
      <w:r w:rsidR="00AF23FA" w:rsidRPr="00925DB3">
        <w:rPr>
          <w:rFonts w:ascii="Calibri" w:hAnsi="Calibri" w:cs="Calibri"/>
        </w:rPr>
        <w:t>inévitable</w:t>
      </w:r>
      <w:proofErr w:type="spellEnd"/>
      <w:r w:rsidR="00AF23FA" w:rsidRPr="00925DB3">
        <w:rPr>
          <w:rFonts w:ascii="Calibri" w:hAnsi="Calibri" w:cs="Calibri"/>
        </w:rPr>
        <w:t xml:space="preserve">. Les </w:t>
      </w:r>
      <w:proofErr w:type="spellStart"/>
      <w:r w:rsidR="00AF23FA" w:rsidRPr="00925DB3">
        <w:rPr>
          <w:rFonts w:ascii="Calibri" w:hAnsi="Calibri" w:cs="Calibri"/>
        </w:rPr>
        <w:t>âmes</w:t>
      </w:r>
      <w:proofErr w:type="spellEnd"/>
      <w:r w:rsidR="00AF23FA" w:rsidRPr="00925DB3">
        <w:rPr>
          <w:rFonts w:ascii="Calibri" w:hAnsi="Calibri" w:cs="Calibri"/>
        </w:rPr>
        <w:t xml:space="preserve"> </w:t>
      </w:r>
      <w:proofErr w:type="spellStart"/>
      <w:r w:rsidR="00AF23FA" w:rsidRPr="00925DB3">
        <w:rPr>
          <w:rFonts w:ascii="Calibri" w:hAnsi="Calibri" w:cs="Calibri"/>
        </w:rPr>
        <w:t>tendres</w:t>
      </w:r>
      <w:proofErr w:type="spellEnd"/>
      <w:r w:rsidR="00AF23FA" w:rsidRPr="00925DB3">
        <w:rPr>
          <w:rFonts w:ascii="Calibri" w:hAnsi="Calibri" w:cs="Calibri"/>
        </w:rPr>
        <w:t xml:space="preserve"> qui </w:t>
      </w:r>
      <w:proofErr w:type="spellStart"/>
      <w:r w:rsidR="00AF23FA" w:rsidRPr="00925DB3">
        <w:rPr>
          <w:rFonts w:ascii="Calibri" w:hAnsi="Calibri" w:cs="Calibri"/>
        </w:rPr>
        <w:t>en</w:t>
      </w:r>
      <w:proofErr w:type="spellEnd"/>
      <w:r w:rsidR="00AF23FA" w:rsidRPr="00925DB3">
        <w:rPr>
          <w:rFonts w:ascii="Calibri" w:hAnsi="Calibri" w:cs="Calibri"/>
        </w:rPr>
        <w:t xml:space="preserve"> </w:t>
      </w:r>
      <w:proofErr w:type="spellStart"/>
      <w:r w:rsidR="00AF23FA" w:rsidRPr="00925DB3">
        <w:rPr>
          <w:rFonts w:ascii="Calibri" w:hAnsi="Calibri" w:cs="Calibri"/>
        </w:rPr>
        <w:t>rêvent</w:t>
      </w:r>
      <w:proofErr w:type="spellEnd"/>
      <w:r w:rsidR="00AF23FA" w:rsidRPr="00925DB3">
        <w:rPr>
          <w:rFonts w:ascii="Calibri" w:hAnsi="Calibri" w:cs="Calibri"/>
        </w:rPr>
        <w:t xml:space="preserve"> </w:t>
      </w:r>
      <w:proofErr w:type="spellStart"/>
      <w:r w:rsidR="00AF23FA" w:rsidRPr="00925DB3">
        <w:rPr>
          <w:rFonts w:ascii="Calibri" w:hAnsi="Calibri" w:cs="Calibri"/>
        </w:rPr>
        <w:t>l’abolition</w:t>
      </w:r>
      <w:proofErr w:type="spellEnd"/>
      <w:r w:rsidR="00AF23FA" w:rsidRPr="00925DB3">
        <w:rPr>
          <w:rFonts w:ascii="Calibri" w:hAnsi="Calibri" w:cs="Calibri"/>
        </w:rPr>
        <w:t xml:space="preserve">, qui </w:t>
      </w:r>
      <w:proofErr w:type="spellStart"/>
      <w:r w:rsidR="00AF23FA" w:rsidRPr="00925DB3">
        <w:rPr>
          <w:rFonts w:ascii="Calibri" w:hAnsi="Calibri" w:cs="Calibri"/>
        </w:rPr>
        <w:t>réunissent</w:t>
      </w:r>
      <w:proofErr w:type="spellEnd"/>
      <w:r w:rsidR="00AF23FA" w:rsidRPr="00925DB3">
        <w:rPr>
          <w:rFonts w:ascii="Calibri" w:hAnsi="Calibri" w:cs="Calibri"/>
        </w:rPr>
        <w:t xml:space="preserve"> des </w:t>
      </w:r>
      <w:proofErr w:type="spellStart"/>
      <w:r w:rsidR="00AF23FA" w:rsidRPr="00925DB3">
        <w:rPr>
          <w:rFonts w:ascii="Calibri" w:hAnsi="Calibri" w:cs="Calibri"/>
        </w:rPr>
        <w:t>congrès</w:t>
      </w:r>
      <w:proofErr w:type="spellEnd"/>
      <w:r w:rsidR="00AF23FA" w:rsidRPr="00925DB3">
        <w:rPr>
          <w:rFonts w:ascii="Calibri" w:hAnsi="Calibri" w:cs="Calibri"/>
        </w:rPr>
        <w:t xml:space="preserve"> pour </w:t>
      </w:r>
      <w:proofErr w:type="spellStart"/>
      <w:r w:rsidR="00AF23FA" w:rsidRPr="00925DB3">
        <w:rPr>
          <w:rFonts w:ascii="Calibri" w:hAnsi="Calibri" w:cs="Calibri"/>
        </w:rPr>
        <w:t>décréter</w:t>
      </w:r>
      <w:proofErr w:type="spellEnd"/>
      <w:r w:rsidR="00AF23FA" w:rsidRPr="00925DB3">
        <w:rPr>
          <w:rFonts w:ascii="Calibri" w:hAnsi="Calibri" w:cs="Calibri"/>
        </w:rPr>
        <w:t xml:space="preserve"> la </w:t>
      </w:r>
      <w:proofErr w:type="spellStart"/>
      <w:r w:rsidR="00AF23FA" w:rsidRPr="00925DB3">
        <w:rPr>
          <w:rFonts w:ascii="Calibri" w:hAnsi="Calibri" w:cs="Calibri"/>
        </w:rPr>
        <w:t>paix</w:t>
      </w:r>
      <w:proofErr w:type="spellEnd"/>
      <w:r w:rsidR="00AF23FA" w:rsidRPr="00925DB3">
        <w:rPr>
          <w:rFonts w:ascii="Calibri" w:hAnsi="Calibri" w:cs="Calibri"/>
        </w:rPr>
        <w:t xml:space="preserve"> </w:t>
      </w:r>
      <w:proofErr w:type="spellStart"/>
      <w:r w:rsidR="00AF23FA" w:rsidRPr="00925DB3">
        <w:rPr>
          <w:rFonts w:ascii="Calibri" w:hAnsi="Calibri" w:cs="Calibri"/>
        </w:rPr>
        <w:t>universelle</w:t>
      </w:r>
      <w:proofErr w:type="spellEnd"/>
      <w:r w:rsidR="00AF23FA" w:rsidRPr="00925DB3">
        <w:rPr>
          <w:rFonts w:ascii="Calibri" w:hAnsi="Calibri" w:cs="Calibri"/>
        </w:rPr>
        <w:t xml:space="preserve">, font </w:t>
      </w:r>
      <w:proofErr w:type="spellStart"/>
      <w:r w:rsidR="00AF23FA" w:rsidRPr="00925DB3">
        <w:rPr>
          <w:rFonts w:ascii="Calibri" w:hAnsi="Calibri" w:cs="Calibri"/>
        </w:rPr>
        <w:t>simplement</w:t>
      </w:r>
      <w:proofErr w:type="spellEnd"/>
      <w:r w:rsidR="00AF23FA" w:rsidRPr="00925DB3">
        <w:rPr>
          <w:rFonts w:ascii="Calibri" w:hAnsi="Calibri" w:cs="Calibri"/>
        </w:rPr>
        <w:t xml:space="preserve"> </w:t>
      </w:r>
      <w:proofErr w:type="spellStart"/>
      <w:r w:rsidR="00AF23FA" w:rsidRPr="00925DB3">
        <w:rPr>
          <w:rFonts w:ascii="Calibri" w:hAnsi="Calibri" w:cs="Calibri"/>
        </w:rPr>
        <w:t>là</w:t>
      </w:r>
      <w:proofErr w:type="spellEnd"/>
      <w:r w:rsidR="00AF23FA" w:rsidRPr="00925DB3">
        <w:rPr>
          <w:rFonts w:ascii="Calibri" w:hAnsi="Calibri" w:cs="Calibri"/>
        </w:rPr>
        <w:t xml:space="preserve"> </w:t>
      </w:r>
      <w:proofErr w:type="spellStart"/>
      <w:r w:rsidR="00AF23FA" w:rsidRPr="00925DB3">
        <w:rPr>
          <w:rFonts w:ascii="Calibri" w:hAnsi="Calibri" w:cs="Calibri"/>
        </w:rPr>
        <w:t>une</w:t>
      </w:r>
      <w:proofErr w:type="spellEnd"/>
      <w:r w:rsidR="00AF23FA" w:rsidRPr="00925DB3">
        <w:rPr>
          <w:rFonts w:ascii="Calibri" w:hAnsi="Calibri" w:cs="Calibri"/>
        </w:rPr>
        <w:t xml:space="preserve"> </w:t>
      </w:r>
      <w:proofErr w:type="spellStart"/>
      <w:r w:rsidR="00AF23FA" w:rsidRPr="00925DB3">
        <w:rPr>
          <w:rFonts w:ascii="Calibri" w:hAnsi="Calibri" w:cs="Calibri"/>
        </w:rPr>
        <w:t>utopie</w:t>
      </w:r>
      <w:proofErr w:type="spellEnd"/>
      <w:r w:rsidR="00AF23FA" w:rsidRPr="00925DB3">
        <w:rPr>
          <w:rFonts w:ascii="Calibri" w:hAnsi="Calibri" w:cs="Calibri"/>
        </w:rPr>
        <w:t xml:space="preserve"> </w:t>
      </w:r>
      <w:proofErr w:type="spellStart"/>
      <w:r w:rsidR="00AF23FA" w:rsidRPr="00925DB3">
        <w:rPr>
          <w:rFonts w:ascii="Calibri" w:hAnsi="Calibri" w:cs="Calibri"/>
        </w:rPr>
        <w:t>généreuse</w:t>
      </w:r>
      <w:proofErr w:type="spellEnd"/>
      <w:r w:rsidR="00AF23FA" w:rsidRPr="00925DB3">
        <w:rPr>
          <w:rFonts w:ascii="Calibri" w:hAnsi="Calibri" w:cs="Calibri"/>
        </w:rPr>
        <w:t xml:space="preserve">. […] La guerre, </w:t>
      </w:r>
      <w:proofErr w:type="spellStart"/>
      <w:r w:rsidR="00AF23FA" w:rsidRPr="00925DB3">
        <w:rPr>
          <w:rFonts w:ascii="Calibri" w:hAnsi="Calibri" w:cs="Calibri"/>
        </w:rPr>
        <w:t>mais</w:t>
      </w:r>
      <w:proofErr w:type="spellEnd"/>
      <w:r w:rsidR="00AF23FA" w:rsidRPr="00925DB3">
        <w:rPr>
          <w:rFonts w:ascii="Calibri" w:hAnsi="Calibri" w:cs="Calibri"/>
        </w:rPr>
        <w:t xml:space="preserve"> </w:t>
      </w:r>
      <w:proofErr w:type="spellStart"/>
      <w:r w:rsidR="00AF23FA" w:rsidRPr="00925DB3">
        <w:rPr>
          <w:rFonts w:ascii="Calibri" w:hAnsi="Calibri" w:cs="Calibri"/>
        </w:rPr>
        <w:t>c’est</w:t>
      </w:r>
      <w:proofErr w:type="spellEnd"/>
      <w:r w:rsidR="00AF23FA" w:rsidRPr="00925DB3">
        <w:rPr>
          <w:rFonts w:ascii="Calibri" w:hAnsi="Calibri" w:cs="Calibri"/>
        </w:rPr>
        <w:t xml:space="preserve"> la vie </w:t>
      </w:r>
      <w:proofErr w:type="spellStart"/>
      <w:r w:rsidR="00AF23FA" w:rsidRPr="00925DB3">
        <w:rPr>
          <w:rFonts w:ascii="Calibri" w:hAnsi="Calibri" w:cs="Calibri"/>
        </w:rPr>
        <w:t>même</w:t>
      </w:r>
      <w:proofErr w:type="spellEnd"/>
      <w:r w:rsidR="00AF23FA" w:rsidRPr="00925DB3">
        <w:rPr>
          <w:rFonts w:ascii="Calibri" w:hAnsi="Calibri" w:cs="Calibri"/>
        </w:rPr>
        <w:t xml:space="preserve">! </w:t>
      </w:r>
      <w:proofErr w:type="spellStart"/>
      <w:r w:rsidR="00AF23FA" w:rsidRPr="00925DB3">
        <w:rPr>
          <w:rFonts w:ascii="Calibri" w:hAnsi="Calibri" w:cs="Calibri"/>
        </w:rPr>
        <w:t>Rien</w:t>
      </w:r>
      <w:proofErr w:type="spellEnd"/>
      <w:r w:rsidR="00AF23FA" w:rsidRPr="00925DB3">
        <w:rPr>
          <w:rFonts w:ascii="Calibri" w:hAnsi="Calibri" w:cs="Calibri"/>
        </w:rPr>
        <w:t xml:space="preserve"> </w:t>
      </w:r>
      <w:proofErr w:type="spellStart"/>
      <w:r w:rsidR="00AF23FA" w:rsidRPr="00925DB3">
        <w:rPr>
          <w:rFonts w:ascii="Calibri" w:hAnsi="Calibri" w:cs="Calibri"/>
        </w:rPr>
        <w:t>n’existe</w:t>
      </w:r>
      <w:proofErr w:type="spellEnd"/>
      <w:r w:rsidR="00AF23FA" w:rsidRPr="00925DB3">
        <w:rPr>
          <w:rFonts w:ascii="Calibri" w:hAnsi="Calibri" w:cs="Calibri"/>
        </w:rPr>
        <w:t xml:space="preserve"> </w:t>
      </w:r>
      <w:proofErr w:type="spellStart"/>
      <w:r w:rsidR="00AF23FA" w:rsidRPr="00925DB3">
        <w:rPr>
          <w:rFonts w:ascii="Calibri" w:hAnsi="Calibri" w:cs="Calibri"/>
        </w:rPr>
        <w:t>dans</w:t>
      </w:r>
      <w:proofErr w:type="spellEnd"/>
      <w:r w:rsidR="00AF23FA" w:rsidRPr="00925DB3">
        <w:rPr>
          <w:rFonts w:ascii="Calibri" w:hAnsi="Calibri" w:cs="Calibri"/>
        </w:rPr>
        <w:t xml:space="preserve"> la nature, ne </w:t>
      </w:r>
      <w:proofErr w:type="spellStart"/>
      <w:r w:rsidR="00AF23FA" w:rsidRPr="00925DB3">
        <w:rPr>
          <w:rFonts w:ascii="Calibri" w:hAnsi="Calibri" w:cs="Calibri"/>
        </w:rPr>
        <w:t>naît</w:t>
      </w:r>
      <w:proofErr w:type="spellEnd"/>
      <w:r w:rsidR="00AF23FA" w:rsidRPr="00925DB3">
        <w:rPr>
          <w:rFonts w:ascii="Calibri" w:hAnsi="Calibri" w:cs="Calibri"/>
        </w:rPr>
        <w:t xml:space="preserve">, ne </w:t>
      </w:r>
      <w:proofErr w:type="spellStart"/>
      <w:r w:rsidR="00AF23FA" w:rsidRPr="00925DB3">
        <w:rPr>
          <w:rFonts w:ascii="Calibri" w:hAnsi="Calibri" w:cs="Calibri"/>
        </w:rPr>
        <w:t>grandit</w:t>
      </w:r>
      <w:proofErr w:type="spellEnd"/>
      <w:r w:rsidR="00AF23FA" w:rsidRPr="00925DB3">
        <w:rPr>
          <w:rFonts w:ascii="Calibri" w:hAnsi="Calibri" w:cs="Calibri"/>
        </w:rPr>
        <w:t xml:space="preserve">, ne se </w:t>
      </w:r>
      <w:proofErr w:type="spellStart"/>
      <w:r w:rsidR="00AF23FA" w:rsidRPr="00925DB3">
        <w:rPr>
          <w:rFonts w:ascii="Calibri" w:hAnsi="Calibri" w:cs="Calibri"/>
        </w:rPr>
        <w:t>multiplie</w:t>
      </w:r>
      <w:proofErr w:type="spellEnd"/>
      <w:r w:rsidR="00AF23FA" w:rsidRPr="00925DB3">
        <w:rPr>
          <w:rFonts w:ascii="Calibri" w:hAnsi="Calibri" w:cs="Calibri"/>
        </w:rPr>
        <w:t xml:space="preserve"> que par un combat. Il </w:t>
      </w:r>
      <w:proofErr w:type="spellStart"/>
      <w:r w:rsidR="00AF23FA" w:rsidRPr="00925DB3">
        <w:rPr>
          <w:rFonts w:ascii="Calibri" w:hAnsi="Calibri" w:cs="Calibri"/>
        </w:rPr>
        <w:t>faut</w:t>
      </w:r>
      <w:proofErr w:type="spellEnd"/>
      <w:r w:rsidR="00AF23FA" w:rsidRPr="00925DB3">
        <w:rPr>
          <w:rFonts w:ascii="Calibri" w:hAnsi="Calibri" w:cs="Calibri"/>
        </w:rPr>
        <w:t xml:space="preserve"> manger et </w:t>
      </w:r>
      <w:proofErr w:type="spellStart"/>
      <w:r w:rsidR="00AF23FA" w:rsidRPr="00925DB3">
        <w:rPr>
          <w:rFonts w:ascii="Calibri" w:hAnsi="Calibri" w:cs="Calibri"/>
        </w:rPr>
        <w:t>être</w:t>
      </w:r>
      <w:proofErr w:type="spellEnd"/>
      <w:r w:rsidR="00AF23FA" w:rsidRPr="00925DB3">
        <w:rPr>
          <w:rFonts w:ascii="Calibri" w:hAnsi="Calibri" w:cs="Calibri"/>
        </w:rPr>
        <w:t xml:space="preserve"> mange pour que le monde </w:t>
      </w:r>
      <w:proofErr w:type="spellStart"/>
      <w:r w:rsidR="00AF23FA" w:rsidRPr="00925DB3">
        <w:rPr>
          <w:rFonts w:ascii="Calibri" w:hAnsi="Calibri" w:cs="Calibri"/>
        </w:rPr>
        <w:t>vive</w:t>
      </w:r>
      <w:proofErr w:type="spellEnd"/>
      <w:r w:rsidR="00AF23FA" w:rsidRPr="00925DB3">
        <w:rPr>
          <w:rFonts w:ascii="Calibri" w:hAnsi="Calibri" w:cs="Calibri"/>
        </w:rPr>
        <w:t xml:space="preserve">. Et </w:t>
      </w:r>
      <w:proofErr w:type="spellStart"/>
      <w:r w:rsidR="00AF23FA" w:rsidRPr="00925DB3">
        <w:rPr>
          <w:rFonts w:ascii="Calibri" w:hAnsi="Calibri" w:cs="Calibri"/>
        </w:rPr>
        <w:t>seules</w:t>
      </w:r>
      <w:proofErr w:type="spellEnd"/>
      <w:r w:rsidR="00AF23FA" w:rsidRPr="00925DB3">
        <w:rPr>
          <w:rFonts w:ascii="Calibri" w:hAnsi="Calibri" w:cs="Calibri"/>
        </w:rPr>
        <w:t xml:space="preserve"> les nations </w:t>
      </w:r>
      <w:proofErr w:type="spellStart"/>
      <w:r w:rsidR="00AF23FA" w:rsidRPr="00925DB3">
        <w:rPr>
          <w:rFonts w:ascii="Calibri" w:hAnsi="Calibri" w:cs="Calibri"/>
        </w:rPr>
        <w:t>guerrière</w:t>
      </w:r>
      <w:proofErr w:type="spellEnd"/>
      <w:r w:rsidR="00AF23FA" w:rsidRPr="00925DB3">
        <w:rPr>
          <w:rFonts w:ascii="Calibri" w:hAnsi="Calibri" w:cs="Calibri"/>
        </w:rPr>
        <w:t xml:space="preserve"> </w:t>
      </w:r>
      <w:proofErr w:type="spellStart"/>
      <w:r w:rsidR="00AF23FA" w:rsidRPr="00925DB3">
        <w:rPr>
          <w:rFonts w:ascii="Calibri" w:hAnsi="Calibri" w:cs="Calibri"/>
        </w:rPr>
        <w:t>ont</w:t>
      </w:r>
      <w:proofErr w:type="spellEnd"/>
      <w:r w:rsidR="00AF23FA" w:rsidRPr="00925DB3">
        <w:rPr>
          <w:rFonts w:ascii="Calibri" w:hAnsi="Calibri" w:cs="Calibri"/>
        </w:rPr>
        <w:t xml:space="preserve"> </w:t>
      </w:r>
      <w:proofErr w:type="spellStart"/>
      <w:r w:rsidR="00AF23FA" w:rsidRPr="00925DB3">
        <w:rPr>
          <w:rFonts w:ascii="Calibri" w:hAnsi="Calibri" w:cs="Calibri"/>
        </w:rPr>
        <w:t>prospéré</w:t>
      </w:r>
      <w:proofErr w:type="spellEnd"/>
      <w:r w:rsidR="00AF23FA" w:rsidRPr="00925DB3">
        <w:rPr>
          <w:rFonts w:ascii="Calibri" w:hAnsi="Calibri" w:cs="Calibri"/>
        </w:rPr>
        <w:t xml:space="preserve">, </w:t>
      </w:r>
      <w:proofErr w:type="spellStart"/>
      <w:r w:rsidR="00AF23FA" w:rsidRPr="00925DB3">
        <w:rPr>
          <w:rFonts w:ascii="Calibri" w:hAnsi="Calibri" w:cs="Calibri"/>
        </w:rPr>
        <w:t>une</w:t>
      </w:r>
      <w:proofErr w:type="spellEnd"/>
      <w:r w:rsidR="00AF23FA" w:rsidRPr="00925DB3">
        <w:rPr>
          <w:rFonts w:ascii="Calibri" w:hAnsi="Calibri" w:cs="Calibri"/>
        </w:rPr>
        <w:t xml:space="preserve"> nation </w:t>
      </w:r>
      <w:proofErr w:type="spellStart"/>
      <w:r w:rsidR="00AF23FA" w:rsidRPr="00925DB3">
        <w:rPr>
          <w:rFonts w:ascii="Calibri" w:hAnsi="Calibri" w:cs="Calibri"/>
        </w:rPr>
        <w:t>meurt</w:t>
      </w:r>
      <w:proofErr w:type="spellEnd"/>
      <w:r w:rsidR="00AF23FA" w:rsidRPr="00925DB3">
        <w:rPr>
          <w:rFonts w:ascii="Calibri" w:hAnsi="Calibri" w:cs="Calibri"/>
        </w:rPr>
        <w:t xml:space="preserve"> </w:t>
      </w:r>
      <w:proofErr w:type="spellStart"/>
      <w:r w:rsidR="00AF23FA" w:rsidRPr="00925DB3">
        <w:rPr>
          <w:rFonts w:ascii="Calibri" w:hAnsi="Calibri" w:cs="Calibri"/>
        </w:rPr>
        <w:t>dès</w:t>
      </w:r>
      <w:proofErr w:type="spellEnd"/>
      <w:r w:rsidR="00AF23FA" w:rsidRPr="00925DB3">
        <w:rPr>
          <w:rFonts w:ascii="Calibri" w:hAnsi="Calibri" w:cs="Calibri"/>
        </w:rPr>
        <w:t xml:space="preserve"> </w:t>
      </w:r>
      <w:proofErr w:type="spellStart"/>
      <w:r w:rsidR="00AF23FA" w:rsidRPr="00925DB3">
        <w:rPr>
          <w:rFonts w:ascii="Calibri" w:hAnsi="Calibri" w:cs="Calibri"/>
        </w:rPr>
        <w:t>qu’elle</w:t>
      </w:r>
      <w:proofErr w:type="spellEnd"/>
      <w:r w:rsidR="00AF23FA" w:rsidRPr="00925DB3">
        <w:rPr>
          <w:rFonts w:ascii="Calibri" w:hAnsi="Calibri" w:cs="Calibri"/>
        </w:rPr>
        <w:t xml:space="preserve"> </w:t>
      </w:r>
      <w:proofErr w:type="spellStart"/>
      <w:r w:rsidR="00AF23FA" w:rsidRPr="00925DB3">
        <w:rPr>
          <w:rFonts w:ascii="Calibri" w:hAnsi="Calibri" w:cs="Calibri"/>
        </w:rPr>
        <w:t>désarme</w:t>
      </w:r>
      <w:proofErr w:type="spellEnd"/>
      <w:r w:rsidR="00AF23FA" w:rsidRPr="00925DB3">
        <w:rPr>
          <w:rFonts w:ascii="Calibri" w:hAnsi="Calibri" w:cs="Calibri"/>
        </w:rPr>
        <w:t xml:space="preserve">. La guerre, </w:t>
      </w:r>
      <w:proofErr w:type="spellStart"/>
      <w:r w:rsidR="00AF23FA" w:rsidRPr="00925DB3">
        <w:rPr>
          <w:rFonts w:ascii="Calibri" w:hAnsi="Calibri" w:cs="Calibri"/>
        </w:rPr>
        <w:t>c’est</w:t>
      </w:r>
      <w:proofErr w:type="spellEnd"/>
      <w:r w:rsidR="00AF23FA" w:rsidRPr="00925DB3">
        <w:rPr>
          <w:rFonts w:ascii="Calibri" w:hAnsi="Calibri" w:cs="Calibri"/>
        </w:rPr>
        <w:t xml:space="preserve"> </w:t>
      </w:r>
      <w:proofErr w:type="spellStart"/>
      <w:r w:rsidR="00AF23FA" w:rsidRPr="00925DB3">
        <w:rPr>
          <w:rFonts w:ascii="Calibri" w:hAnsi="Calibri" w:cs="Calibri"/>
        </w:rPr>
        <w:t>l’école</w:t>
      </w:r>
      <w:proofErr w:type="spellEnd"/>
      <w:r w:rsidR="00AF23FA" w:rsidRPr="00925DB3">
        <w:rPr>
          <w:rFonts w:ascii="Calibri" w:hAnsi="Calibri" w:cs="Calibri"/>
        </w:rPr>
        <w:t xml:space="preserve"> de la discipline, du sacrifice, du courage, </w:t>
      </w:r>
      <w:proofErr w:type="spellStart"/>
      <w:r w:rsidR="00AF23FA" w:rsidRPr="00925DB3">
        <w:rPr>
          <w:rFonts w:ascii="Calibri" w:hAnsi="Calibri" w:cs="Calibri"/>
        </w:rPr>
        <w:t>ce</w:t>
      </w:r>
      <w:proofErr w:type="spellEnd"/>
      <w:r w:rsidR="00AF23FA" w:rsidRPr="00925DB3">
        <w:rPr>
          <w:rFonts w:ascii="Calibri" w:hAnsi="Calibri" w:cs="Calibri"/>
        </w:rPr>
        <w:t xml:space="preserve"> </w:t>
      </w:r>
      <w:proofErr w:type="spellStart"/>
      <w:r w:rsidR="00AF23FA" w:rsidRPr="00925DB3">
        <w:rPr>
          <w:rFonts w:ascii="Calibri" w:hAnsi="Calibri" w:cs="Calibri"/>
        </w:rPr>
        <w:t>sont</w:t>
      </w:r>
      <w:proofErr w:type="spellEnd"/>
      <w:r w:rsidR="00AF23FA" w:rsidRPr="00925DB3">
        <w:rPr>
          <w:rFonts w:ascii="Calibri" w:hAnsi="Calibri" w:cs="Calibri"/>
        </w:rPr>
        <w:t xml:space="preserve"> les muscles </w:t>
      </w:r>
      <w:proofErr w:type="spellStart"/>
      <w:r w:rsidR="00AF23FA" w:rsidRPr="00925DB3">
        <w:rPr>
          <w:rFonts w:ascii="Calibri" w:hAnsi="Calibri" w:cs="Calibri"/>
        </w:rPr>
        <w:t>exercés</w:t>
      </w:r>
      <w:proofErr w:type="spellEnd"/>
      <w:r w:rsidR="00AF23FA" w:rsidRPr="00925DB3">
        <w:rPr>
          <w:rFonts w:ascii="Calibri" w:hAnsi="Calibri" w:cs="Calibri"/>
        </w:rPr>
        <w:t xml:space="preserve">, les </w:t>
      </w:r>
      <w:proofErr w:type="spellStart"/>
      <w:r w:rsidR="00AF23FA" w:rsidRPr="00925DB3">
        <w:rPr>
          <w:rFonts w:ascii="Calibri" w:hAnsi="Calibri" w:cs="Calibri"/>
        </w:rPr>
        <w:t>âmes</w:t>
      </w:r>
      <w:proofErr w:type="spellEnd"/>
      <w:r w:rsidR="00AF23FA" w:rsidRPr="00925DB3">
        <w:rPr>
          <w:rFonts w:ascii="Calibri" w:hAnsi="Calibri" w:cs="Calibri"/>
        </w:rPr>
        <w:t xml:space="preserve"> </w:t>
      </w:r>
      <w:proofErr w:type="spellStart"/>
      <w:r w:rsidR="00AF23FA" w:rsidRPr="00925DB3">
        <w:rPr>
          <w:rFonts w:ascii="Calibri" w:hAnsi="Calibri" w:cs="Calibri"/>
        </w:rPr>
        <w:t>raffermies</w:t>
      </w:r>
      <w:proofErr w:type="spellEnd"/>
      <w:r w:rsidR="00AF23FA" w:rsidRPr="00925DB3">
        <w:rPr>
          <w:rFonts w:ascii="Calibri" w:hAnsi="Calibri" w:cs="Calibri"/>
        </w:rPr>
        <w:t xml:space="preserve">, la </w:t>
      </w:r>
      <w:proofErr w:type="spellStart"/>
      <w:r w:rsidR="00AF23FA" w:rsidRPr="00925DB3">
        <w:rPr>
          <w:rFonts w:ascii="Calibri" w:hAnsi="Calibri" w:cs="Calibri"/>
        </w:rPr>
        <w:t>fraternité</w:t>
      </w:r>
      <w:proofErr w:type="spellEnd"/>
      <w:r w:rsidR="00AF23FA" w:rsidRPr="00925DB3">
        <w:rPr>
          <w:rFonts w:ascii="Calibri" w:hAnsi="Calibri" w:cs="Calibri"/>
        </w:rPr>
        <w:t xml:space="preserve"> </w:t>
      </w:r>
      <w:proofErr w:type="spellStart"/>
      <w:r w:rsidR="00AF23FA" w:rsidRPr="00925DB3">
        <w:rPr>
          <w:rFonts w:ascii="Calibri" w:hAnsi="Calibri" w:cs="Calibri"/>
        </w:rPr>
        <w:t>devant</w:t>
      </w:r>
      <w:proofErr w:type="spellEnd"/>
      <w:r w:rsidR="00AF23FA" w:rsidRPr="00925DB3">
        <w:rPr>
          <w:rFonts w:ascii="Calibri" w:hAnsi="Calibri" w:cs="Calibri"/>
        </w:rPr>
        <w:t xml:space="preserve"> le peril, la santé et la force.”</w:t>
      </w:r>
      <w:r w:rsidR="00973D4A">
        <w:rPr>
          <w:rFonts w:ascii="Calibri" w:hAnsi="Calibri" w:cs="Calibri"/>
        </w:rPr>
        <w:t>]</w:t>
      </w:r>
      <w:r w:rsidR="00AF23FA" w:rsidRPr="00925DB3">
        <w:rPr>
          <w:rFonts w:ascii="Calibri" w:hAnsi="Calibri" w:cs="Calibri"/>
        </w:rPr>
        <w:t xml:space="preserve"> </w:t>
      </w:r>
      <w:proofErr w:type="spellStart"/>
      <w:r w:rsidRPr="00925DB3">
        <w:rPr>
          <w:lang w:val="en-CA"/>
        </w:rPr>
        <w:t>Ebd</w:t>
      </w:r>
      <w:proofErr w:type="spellEnd"/>
      <w:r w:rsidRPr="00925DB3">
        <w:rPr>
          <w:lang w:val="en-CA"/>
        </w:rPr>
        <w:t>.</w:t>
      </w:r>
    </w:p>
  </w:footnote>
  <w:footnote w:id="39">
    <w:p w:rsidR="00326855" w:rsidRPr="00925DB3" w:rsidRDefault="00326855" w:rsidP="00925DB3">
      <w:pPr>
        <w:rPr>
          <w:sz w:val="20"/>
          <w:szCs w:val="20"/>
        </w:rPr>
      </w:pPr>
      <w:r w:rsidRPr="00925DB3">
        <w:rPr>
          <w:rStyle w:val="FootnoteReference"/>
          <w:sz w:val="20"/>
          <w:szCs w:val="20"/>
        </w:rPr>
        <w:footnoteRef/>
      </w:r>
      <w:r w:rsidRPr="00925DB3">
        <w:rPr>
          <w:sz w:val="20"/>
          <w:szCs w:val="20"/>
        </w:rPr>
        <w:t xml:space="preserve"> M.K. Gandhi: An autobiography or the story of my experiments with truth. New Haven: Yale University Press, 2018</w:t>
      </w:r>
      <w:r w:rsidR="00973D4A">
        <w:rPr>
          <w:sz w:val="20"/>
          <w:szCs w:val="20"/>
        </w:rPr>
        <w:t xml:space="preserve">: </w:t>
      </w:r>
      <w:r w:rsidRPr="00925DB3">
        <w:rPr>
          <w:sz w:val="20"/>
          <w:szCs w:val="20"/>
        </w:rPr>
        <w:t xml:space="preserve">“Three moderns have left a deep impress on my life, and captivated me: </w:t>
      </w:r>
      <w:proofErr w:type="spellStart"/>
      <w:r w:rsidRPr="00925DB3">
        <w:rPr>
          <w:sz w:val="20"/>
          <w:szCs w:val="20"/>
        </w:rPr>
        <w:t>Raychandbhai</w:t>
      </w:r>
      <w:proofErr w:type="spellEnd"/>
      <w:r w:rsidRPr="00925DB3">
        <w:rPr>
          <w:sz w:val="20"/>
          <w:szCs w:val="20"/>
        </w:rPr>
        <w:t xml:space="preserve"> by his living contact; Tolstoy by his book, </w:t>
      </w:r>
      <w:r w:rsidRPr="00925DB3">
        <w:rPr>
          <w:i/>
          <w:sz w:val="20"/>
          <w:szCs w:val="20"/>
        </w:rPr>
        <w:t>The Kingdom of Love Is within You</w:t>
      </w:r>
      <w:r w:rsidRPr="00925DB3">
        <w:rPr>
          <w:sz w:val="20"/>
          <w:szCs w:val="20"/>
        </w:rPr>
        <w:t xml:space="preserve">; and Ruskin by his </w:t>
      </w:r>
      <w:r w:rsidRPr="00925DB3">
        <w:rPr>
          <w:i/>
          <w:sz w:val="20"/>
          <w:szCs w:val="20"/>
        </w:rPr>
        <w:t>Unto This Last</w:t>
      </w:r>
      <w:r w:rsidRPr="00925DB3">
        <w:rPr>
          <w:sz w:val="20"/>
          <w:szCs w:val="20"/>
        </w:rPr>
        <w:t>.”</w:t>
      </w:r>
    </w:p>
    <w:p w:rsidR="00326855" w:rsidRPr="00925DB3" w:rsidRDefault="00326855" w:rsidP="00925DB3">
      <w:pPr>
        <w:rPr>
          <w:sz w:val="20"/>
          <w:szCs w:val="20"/>
        </w:rPr>
      </w:pPr>
      <w:r w:rsidRPr="00925DB3">
        <w:rPr>
          <w:sz w:val="20"/>
          <w:szCs w:val="20"/>
        </w:rPr>
        <w:t>“Tolstoy’s The Kingdom of God Is within You overwhelmed me. It left an abiding impression on me. Before the independent thinking, profound morality, and the truthfulness of this book, all the books given me by Mr. Coates seemed to pale into insignificance.” (243)</w:t>
      </w:r>
    </w:p>
    <w:p w:rsidR="00326855" w:rsidRPr="00925DB3" w:rsidRDefault="00326855" w:rsidP="00925DB3">
      <w:pPr>
        <w:rPr>
          <w:sz w:val="20"/>
          <w:szCs w:val="20"/>
          <w:lang w:val="de-DE"/>
        </w:rPr>
      </w:pPr>
      <w:r w:rsidRPr="00925DB3">
        <w:rPr>
          <w:sz w:val="20"/>
          <w:szCs w:val="20"/>
        </w:rPr>
        <w:t xml:space="preserve">“I made too an intensive study of Tolstoy’s books. </w:t>
      </w:r>
      <w:r w:rsidRPr="00925DB3">
        <w:rPr>
          <w:i/>
          <w:sz w:val="20"/>
          <w:szCs w:val="20"/>
        </w:rPr>
        <w:t>The Gospels in Brief</w:t>
      </w:r>
      <w:r w:rsidRPr="00925DB3">
        <w:rPr>
          <w:sz w:val="20"/>
          <w:szCs w:val="20"/>
        </w:rPr>
        <w:t xml:space="preserve">, </w:t>
      </w:r>
      <w:r w:rsidRPr="00925DB3">
        <w:rPr>
          <w:i/>
          <w:sz w:val="20"/>
          <w:szCs w:val="20"/>
        </w:rPr>
        <w:t>What to Do?</w:t>
      </w:r>
      <w:r w:rsidRPr="00925DB3">
        <w:rPr>
          <w:sz w:val="20"/>
          <w:szCs w:val="20"/>
        </w:rPr>
        <w:t xml:space="preserve"> and other books [275] made a deep impression on me. I began to realize more and more </w:t>
      </w:r>
      <w:r w:rsidRPr="00925DB3">
        <w:rPr>
          <w:i/>
          <w:sz w:val="20"/>
          <w:szCs w:val="20"/>
        </w:rPr>
        <w:t>the infinite possibilities of love</w:t>
      </w:r>
      <w:r w:rsidRPr="00925DB3">
        <w:rPr>
          <w:sz w:val="20"/>
          <w:szCs w:val="20"/>
        </w:rPr>
        <w:t xml:space="preserve">.” </w:t>
      </w:r>
      <w:r w:rsidRPr="00925DB3">
        <w:rPr>
          <w:sz w:val="20"/>
          <w:szCs w:val="20"/>
          <w:lang w:val="de-DE"/>
        </w:rPr>
        <w:t>(274-275)</w:t>
      </w:r>
    </w:p>
  </w:footnote>
  <w:footnote w:id="40">
    <w:p w:rsidR="00AF23FA" w:rsidRPr="00925DB3" w:rsidRDefault="00AF23FA" w:rsidP="00925DB3">
      <w:pPr>
        <w:rPr>
          <w:sz w:val="20"/>
          <w:szCs w:val="20"/>
          <w:lang w:val="de-DE"/>
        </w:rPr>
      </w:pPr>
      <w:r w:rsidRPr="00925DB3">
        <w:rPr>
          <w:rStyle w:val="FootnoteReference"/>
          <w:sz w:val="20"/>
          <w:szCs w:val="20"/>
        </w:rPr>
        <w:footnoteRef/>
      </w:r>
      <w:r w:rsidRPr="00925DB3">
        <w:rPr>
          <w:sz w:val="20"/>
          <w:szCs w:val="20"/>
          <w:lang w:val="de-DE"/>
        </w:rPr>
        <w:t xml:space="preserve"> Oskar Maria Graf: Wir sind Gefangene. Ein Bekenntnis. München: </w:t>
      </w:r>
      <w:proofErr w:type="spellStart"/>
      <w:r w:rsidRPr="00925DB3">
        <w:rPr>
          <w:sz w:val="20"/>
          <w:szCs w:val="20"/>
          <w:lang w:val="de-DE"/>
        </w:rPr>
        <w:t>dtv</w:t>
      </w:r>
      <w:proofErr w:type="spellEnd"/>
      <w:r w:rsidRPr="00925DB3">
        <w:rPr>
          <w:sz w:val="20"/>
          <w:szCs w:val="20"/>
          <w:lang w:val="de-DE"/>
        </w:rPr>
        <w:t>, 1991, 8.</w:t>
      </w:r>
    </w:p>
  </w:footnote>
  <w:footnote w:id="41">
    <w:p w:rsidR="00AF23FA" w:rsidRPr="00925DB3" w:rsidRDefault="00AF23FA" w:rsidP="00925DB3">
      <w:pPr>
        <w:pStyle w:val="FootnoteText"/>
        <w:rPr>
          <w:lang w:val="de-DE"/>
        </w:rPr>
      </w:pPr>
      <w:r w:rsidRPr="00925DB3">
        <w:rPr>
          <w:rStyle w:val="FootnoteReference"/>
        </w:rPr>
        <w:footnoteRef/>
      </w:r>
      <w:r w:rsidRPr="00925DB3">
        <w:rPr>
          <w:lang w:val="de-DE"/>
        </w:rPr>
        <w:t xml:space="preserve"> </w:t>
      </w:r>
      <w:r w:rsidR="00973D4A">
        <w:rPr>
          <w:lang w:val="de-DE"/>
        </w:rPr>
        <w:t>Ebd.</w:t>
      </w:r>
      <w:r w:rsidRPr="00925DB3">
        <w:rPr>
          <w:lang w:val="de-DE"/>
        </w:rPr>
        <w:t xml:space="preserve">, 341. </w:t>
      </w:r>
    </w:p>
  </w:footnote>
  <w:footnote w:id="42">
    <w:p w:rsidR="00AF23FA" w:rsidRPr="00973D4A" w:rsidRDefault="00AF23FA" w:rsidP="00973D4A">
      <w:pPr>
        <w:rPr>
          <w:b/>
          <w:lang w:val="de-DE"/>
        </w:rPr>
      </w:pPr>
      <w:r w:rsidRPr="00925DB3">
        <w:rPr>
          <w:rStyle w:val="FootnoteReference"/>
        </w:rPr>
        <w:footnoteRef/>
      </w:r>
      <w:r w:rsidRPr="00925DB3">
        <w:rPr>
          <w:lang w:val="de-DE"/>
        </w:rPr>
        <w:t xml:space="preserve"> </w:t>
      </w:r>
      <w:r w:rsidR="00973D4A" w:rsidRPr="00466D18">
        <w:rPr>
          <w:sz w:val="20"/>
          <w:szCs w:val="20"/>
          <w:lang w:val="de-DE"/>
        </w:rPr>
        <w:t xml:space="preserve">Oskar Maria Graf: </w:t>
      </w:r>
      <w:proofErr w:type="spellStart"/>
      <w:r w:rsidR="00973D4A" w:rsidRPr="00466D18">
        <w:rPr>
          <w:sz w:val="20"/>
          <w:szCs w:val="20"/>
          <w:lang w:val="de-DE"/>
        </w:rPr>
        <w:t>Tolstoj</w:t>
      </w:r>
      <w:proofErr w:type="spellEnd"/>
      <w:r w:rsidR="00973D4A" w:rsidRPr="00466D18">
        <w:rPr>
          <w:sz w:val="20"/>
          <w:szCs w:val="20"/>
          <w:lang w:val="de-DE"/>
        </w:rPr>
        <w:t xml:space="preserve"> als weltgeschichtliches Ereignis. Kleine Notiz zu seinem fünfzigsten Todestag. In: An manchen Tagen. Reden, Gedanken und Zeitbetrachtungen. München: </w:t>
      </w:r>
      <w:proofErr w:type="spellStart"/>
      <w:r w:rsidR="00973D4A" w:rsidRPr="00466D18">
        <w:rPr>
          <w:sz w:val="20"/>
          <w:szCs w:val="20"/>
          <w:lang w:val="de-DE"/>
        </w:rPr>
        <w:t>dtv</w:t>
      </w:r>
      <w:proofErr w:type="spellEnd"/>
      <w:r w:rsidR="00973D4A" w:rsidRPr="00466D18">
        <w:rPr>
          <w:sz w:val="20"/>
          <w:szCs w:val="20"/>
          <w:lang w:val="de-DE"/>
        </w:rPr>
        <w:t xml:space="preserve">: 1994, 162-167, hier: </w:t>
      </w:r>
      <w:r w:rsidRPr="00466D18">
        <w:rPr>
          <w:sz w:val="20"/>
          <w:szCs w:val="20"/>
          <w:lang w:val="de-DE"/>
        </w:rPr>
        <w:t>167</w:t>
      </w:r>
      <w:r w:rsidR="00973D4A" w:rsidRPr="00466D18">
        <w:rPr>
          <w:sz w:val="20"/>
          <w:szCs w:val="20"/>
          <w:lang w:val="de-DE"/>
        </w:rPr>
        <w:t>.</w:t>
      </w:r>
    </w:p>
  </w:footnote>
  <w:footnote w:id="43">
    <w:p w:rsidR="004E4FE3" w:rsidRPr="00925DB3" w:rsidRDefault="004E4FE3" w:rsidP="00925DB3">
      <w:pPr>
        <w:rPr>
          <w:sz w:val="20"/>
          <w:szCs w:val="20"/>
          <w:lang w:val="de-DE"/>
        </w:rPr>
      </w:pPr>
      <w:r w:rsidRPr="00925DB3">
        <w:rPr>
          <w:rStyle w:val="FootnoteReference"/>
          <w:sz w:val="20"/>
          <w:szCs w:val="20"/>
        </w:rPr>
        <w:footnoteRef/>
      </w:r>
      <w:r w:rsidRPr="00925DB3">
        <w:rPr>
          <w:sz w:val="20"/>
          <w:szCs w:val="20"/>
          <w:lang w:val="de-DE"/>
        </w:rPr>
        <w:t xml:space="preserve"> Leo N. </w:t>
      </w:r>
      <w:proofErr w:type="spellStart"/>
      <w:r w:rsidRPr="00925DB3">
        <w:rPr>
          <w:sz w:val="20"/>
          <w:szCs w:val="20"/>
          <w:lang w:val="de-DE"/>
        </w:rPr>
        <w:t>Tolstoj</w:t>
      </w:r>
      <w:proofErr w:type="spellEnd"/>
      <w:r w:rsidRPr="00925DB3">
        <w:rPr>
          <w:sz w:val="20"/>
          <w:szCs w:val="20"/>
          <w:lang w:val="de-DE"/>
        </w:rPr>
        <w:t>: Das Reich Gottes ist in Euch oder Das Christentum als eine neue Lebensauffassung, nicht als mystische Lehre. Stuttgart: Deutsche Verlags-Anstalt, 1894</w:t>
      </w:r>
      <w:r w:rsidR="00973D4A">
        <w:rPr>
          <w:sz w:val="20"/>
          <w:szCs w:val="20"/>
          <w:lang w:val="de-DE"/>
        </w:rPr>
        <w:t>, 142-143.</w:t>
      </w:r>
    </w:p>
  </w:footnote>
  <w:footnote w:id="44">
    <w:p w:rsidR="002A1740" w:rsidRPr="00F50FFB" w:rsidRDefault="002A1740" w:rsidP="00925DB3">
      <w:pPr>
        <w:rPr>
          <w:sz w:val="20"/>
          <w:szCs w:val="20"/>
        </w:rPr>
      </w:pPr>
      <w:r w:rsidRPr="00925DB3">
        <w:rPr>
          <w:rStyle w:val="FootnoteReference"/>
          <w:sz w:val="20"/>
          <w:szCs w:val="20"/>
        </w:rPr>
        <w:footnoteRef/>
      </w:r>
      <w:r w:rsidRPr="00925DB3">
        <w:rPr>
          <w:sz w:val="20"/>
          <w:szCs w:val="20"/>
          <w:lang w:val="de-DE"/>
        </w:rPr>
        <w:t xml:space="preserve"> </w:t>
      </w:r>
      <w:r w:rsidR="00973D4A">
        <w:rPr>
          <w:sz w:val="20"/>
          <w:szCs w:val="20"/>
          <w:lang w:val="de-DE"/>
        </w:rPr>
        <w:t>[</w:t>
      </w:r>
      <w:r w:rsidR="00D825FE" w:rsidRPr="00925DB3">
        <w:rPr>
          <w:sz w:val="20"/>
          <w:szCs w:val="20"/>
          <w:lang w:val="de-DE"/>
        </w:rPr>
        <w:t>“</w:t>
      </w:r>
      <w:proofErr w:type="spellStart"/>
      <w:r w:rsidRPr="00925DB3">
        <w:rPr>
          <w:sz w:val="20"/>
          <w:szCs w:val="20"/>
          <w:lang w:val="de-DE"/>
        </w:rPr>
        <w:t>Ce</w:t>
      </w:r>
      <w:proofErr w:type="spellEnd"/>
      <w:r w:rsidRPr="00925DB3">
        <w:rPr>
          <w:sz w:val="20"/>
          <w:szCs w:val="20"/>
          <w:lang w:val="de-DE"/>
        </w:rPr>
        <w:t xml:space="preserve"> </w:t>
      </w:r>
      <w:proofErr w:type="spellStart"/>
      <w:r w:rsidRPr="00925DB3">
        <w:rPr>
          <w:sz w:val="20"/>
          <w:szCs w:val="20"/>
          <w:lang w:val="de-DE"/>
        </w:rPr>
        <w:t>réaliste</w:t>
      </w:r>
      <w:proofErr w:type="spellEnd"/>
      <w:r w:rsidRPr="00925DB3">
        <w:rPr>
          <w:sz w:val="20"/>
          <w:szCs w:val="20"/>
          <w:lang w:val="de-DE"/>
        </w:rPr>
        <w:t xml:space="preserve"> </w:t>
      </w:r>
      <w:proofErr w:type="spellStart"/>
      <w:r w:rsidRPr="00925DB3">
        <w:rPr>
          <w:sz w:val="20"/>
          <w:szCs w:val="20"/>
          <w:lang w:val="de-DE"/>
        </w:rPr>
        <w:t>sincère</w:t>
      </w:r>
      <w:proofErr w:type="spellEnd"/>
      <w:r w:rsidRPr="00925DB3">
        <w:rPr>
          <w:sz w:val="20"/>
          <w:szCs w:val="20"/>
          <w:lang w:val="de-DE"/>
        </w:rPr>
        <w:t xml:space="preserve"> </w:t>
      </w:r>
      <w:proofErr w:type="spellStart"/>
      <w:r w:rsidRPr="00925DB3">
        <w:rPr>
          <w:sz w:val="20"/>
          <w:szCs w:val="20"/>
          <w:lang w:val="de-DE"/>
        </w:rPr>
        <w:t>était</w:t>
      </w:r>
      <w:proofErr w:type="spellEnd"/>
      <w:r w:rsidRPr="00925DB3">
        <w:rPr>
          <w:sz w:val="20"/>
          <w:szCs w:val="20"/>
          <w:lang w:val="de-DE"/>
        </w:rPr>
        <w:t xml:space="preserve"> </w:t>
      </w:r>
      <w:proofErr w:type="spellStart"/>
      <w:r w:rsidRPr="00925DB3">
        <w:rPr>
          <w:sz w:val="20"/>
          <w:szCs w:val="20"/>
          <w:lang w:val="de-DE"/>
        </w:rPr>
        <w:t>un</w:t>
      </w:r>
      <w:proofErr w:type="spellEnd"/>
      <w:r w:rsidRPr="00925DB3">
        <w:rPr>
          <w:sz w:val="20"/>
          <w:szCs w:val="20"/>
          <w:lang w:val="de-DE"/>
        </w:rPr>
        <w:t xml:space="preserve"> </w:t>
      </w:r>
      <w:proofErr w:type="spellStart"/>
      <w:r w:rsidRPr="00925DB3">
        <w:rPr>
          <w:sz w:val="20"/>
          <w:szCs w:val="20"/>
          <w:lang w:val="de-DE"/>
        </w:rPr>
        <w:t>ardent</w:t>
      </w:r>
      <w:proofErr w:type="spellEnd"/>
      <w:r w:rsidRPr="00925DB3">
        <w:rPr>
          <w:sz w:val="20"/>
          <w:szCs w:val="20"/>
          <w:lang w:val="de-DE"/>
        </w:rPr>
        <w:t xml:space="preserve"> </w:t>
      </w:r>
      <w:proofErr w:type="spellStart"/>
      <w:r w:rsidRPr="00925DB3">
        <w:rPr>
          <w:sz w:val="20"/>
          <w:szCs w:val="20"/>
          <w:lang w:val="de-DE"/>
        </w:rPr>
        <w:t>idéaliste</w:t>
      </w:r>
      <w:proofErr w:type="spellEnd"/>
      <w:r w:rsidRPr="00925DB3">
        <w:rPr>
          <w:sz w:val="20"/>
          <w:szCs w:val="20"/>
          <w:lang w:val="de-DE"/>
        </w:rPr>
        <w:t>. </w:t>
      </w:r>
      <w:r w:rsidRPr="00925DB3">
        <w:rPr>
          <w:sz w:val="20"/>
          <w:szCs w:val="20"/>
        </w:rPr>
        <w:t xml:space="preserve">Son </w:t>
      </w:r>
      <w:proofErr w:type="spellStart"/>
      <w:r w:rsidRPr="00925DB3">
        <w:rPr>
          <w:sz w:val="20"/>
          <w:szCs w:val="20"/>
        </w:rPr>
        <w:t>œuvre</w:t>
      </w:r>
      <w:proofErr w:type="spellEnd"/>
      <w:r w:rsidRPr="00925DB3">
        <w:rPr>
          <w:sz w:val="20"/>
          <w:szCs w:val="20"/>
        </w:rPr>
        <w:t xml:space="preserve"> </w:t>
      </w:r>
      <w:proofErr w:type="spellStart"/>
      <w:r w:rsidRPr="00925DB3">
        <w:rPr>
          <w:sz w:val="20"/>
          <w:szCs w:val="20"/>
        </w:rPr>
        <w:t>n’est</w:t>
      </w:r>
      <w:proofErr w:type="spellEnd"/>
      <w:r w:rsidRPr="00925DB3">
        <w:rPr>
          <w:sz w:val="20"/>
          <w:szCs w:val="20"/>
        </w:rPr>
        <w:t xml:space="preserve"> comparable </w:t>
      </w:r>
      <w:proofErr w:type="spellStart"/>
      <w:r w:rsidRPr="00925DB3">
        <w:rPr>
          <w:sz w:val="20"/>
          <w:szCs w:val="20"/>
        </w:rPr>
        <w:t>en</w:t>
      </w:r>
      <w:proofErr w:type="spellEnd"/>
      <w:r w:rsidRPr="00925DB3">
        <w:rPr>
          <w:sz w:val="20"/>
          <w:szCs w:val="20"/>
        </w:rPr>
        <w:t xml:space="preserve"> grandeur </w:t>
      </w:r>
      <w:proofErr w:type="spellStart"/>
      <w:r w:rsidRPr="00925DB3">
        <w:rPr>
          <w:sz w:val="20"/>
          <w:szCs w:val="20"/>
        </w:rPr>
        <w:t>qu’à</w:t>
      </w:r>
      <w:proofErr w:type="spellEnd"/>
      <w:r w:rsidRPr="00925DB3">
        <w:rPr>
          <w:sz w:val="20"/>
          <w:szCs w:val="20"/>
        </w:rPr>
        <w:t xml:space="preserve"> </w:t>
      </w:r>
      <w:proofErr w:type="spellStart"/>
      <w:r w:rsidRPr="00925DB3">
        <w:rPr>
          <w:sz w:val="20"/>
          <w:szCs w:val="20"/>
        </w:rPr>
        <w:t>celle</w:t>
      </w:r>
      <w:proofErr w:type="spellEnd"/>
      <w:r w:rsidRPr="00925DB3">
        <w:rPr>
          <w:sz w:val="20"/>
          <w:szCs w:val="20"/>
        </w:rPr>
        <w:t xml:space="preserve"> de </w:t>
      </w:r>
      <w:proofErr w:type="spellStart"/>
      <w:r w:rsidRPr="00925DB3">
        <w:rPr>
          <w:sz w:val="20"/>
          <w:szCs w:val="20"/>
        </w:rPr>
        <w:t>Tolstoï</w:t>
      </w:r>
      <w:proofErr w:type="spellEnd"/>
      <w:r w:rsidRPr="00925DB3">
        <w:rPr>
          <w:sz w:val="20"/>
          <w:szCs w:val="20"/>
        </w:rPr>
        <w:t xml:space="preserve">. Ce </w:t>
      </w:r>
      <w:proofErr w:type="spellStart"/>
      <w:r w:rsidRPr="00925DB3">
        <w:rPr>
          <w:sz w:val="20"/>
          <w:szCs w:val="20"/>
        </w:rPr>
        <w:t>sont</w:t>
      </w:r>
      <w:proofErr w:type="spellEnd"/>
      <w:r w:rsidRPr="00925DB3">
        <w:rPr>
          <w:sz w:val="20"/>
          <w:szCs w:val="20"/>
        </w:rPr>
        <w:t xml:space="preserve"> </w:t>
      </w:r>
      <w:proofErr w:type="spellStart"/>
      <w:r w:rsidRPr="00925DB3">
        <w:rPr>
          <w:sz w:val="20"/>
          <w:szCs w:val="20"/>
        </w:rPr>
        <w:t>deux</w:t>
      </w:r>
      <w:proofErr w:type="spellEnd"/>
      <w:r w:rsidRPr="00925DB3">
        <w:rPr>
          <w:sz w:val="20"/>
          <w:szCs w:val="20"/>
        </w:rPr>
        <w:t xml:space="preserve"> </w:t>
      </w:r>
      <w:proofErr w:type="spellStart"/>
      <w:r w:rsidRPr="00925DB3">
        <w:rPr>
          <w:sz w:val="20"/>
          <w:szCs w:val="20"/>
        </w:rPr>
        <w:t>vastes</w:t>
      </w:r>
      <w:proofErr w:type="spellEnd"/>
      <w:r w:rsidRPr="00925DB3">
        <w:rPr>
          <w:sz w:val="20"/>
          <w:szCs w:val="20"/>
        </w:rPr>
        <w:t xml:space="preserve"> </w:t>
      </w:r>
      <w:proofErr w:type="spellStart"/>
      <w:r w:rsidRPr="00925DB3">
        <w:rPr>
          <w:sz w:val="20"/>
          <w:szCs w:val="20"/>
        </w:rPr>
        <w:t>cités</w:t>
      </w:r>
      <w:proofErr w:type="spellEnd"/>
      <w:r w:rsidRPr="00925DB3">
        <w:rPr>
          <w:sz w:val="20"/>
          <w:szCs w:val="20"/>
        </w:rPr>
        <w:t xml:space="preserve"> </w:t>
      </w:r>
      <w:proofErr w:type="spellStart"/>
      <w:r w:rsidRPr="00925DB3">
        <w:rPr>
          <w:sz w:val="20"/>
          <w:szCs w:val="20"/>
        </w:rPr>
        <w:t>idéales</w:t>
      </w:r>
      <w:proofErr w:type="spellEnd"/>
      <w:r w:rsidRPr="00925DB3">
        <w:rPr>
          <w:sz w:val="20"/>
          <w:szCs w:val="20"/>
        </w:rPr>
        <w:t xml:space="preserve"> </w:t>
      </w:r>
      <w:proofErr w:type="spellStart"/>
      <w:r w:rsidRPr="00925DB3">
        <w:rPr>
          <w:sz w:val="20"/>
          <w:szCs w:val="20"/>
        </w:rPr>
        <w:t>élevées</w:t>
      </w:r>
      <w:proofErr w:type="spellEnd"/>
      <w:r w:rsidRPr="00925DB3">
        <w:rPr>
          <w:sz w:val="20"/>
          <w:szCs w:val="20"/>
        </w:rPr>
        <w:t xml:space="preserve"> par la lyre aux </w:t>
      </w:r>
      <w:proofErr w:type="spellStart"/>
      <w:r w:rsidRPr="00925DB3">
        <w:rPr>
          <w:sz w:val="20"/>
          <w:szCs w:val="20"/>
        </w:rPr>
        <w:t>deux</w:t>
      </w:r>
      <w:proofErr w:type="spellEnd"/>
      <w:r w:rsidRPr="00925DB3">
        <w:rPr>
          <w:sz w:val="20"/>
          <w:szCs w:val="20"/>
        </w:rPr>
        <w:t xml:space="preserve"> </w:t>
      </w:r>
      <w:proofErr w:type="spellStart"/>
      <w:r w:rsidRPr="00925DB3">
        <w:rPr>
          <w:sz w:val="20"/>
          <w:szCs w:val="20"/>
        </w:rPr>
        <w:t>extrémités</w:t>
      </w:r>
      <w:proofErr w:type="spellEnd"/>
      <w:r w:rsidRPr="00925DB3">
        <w:rPr>
          <w:sz w:val="20"/>
          <w:szCs w:val="20"/>
        </w:rPr>
        <w:t xml:space="preserve"> de la </w:t>
      </w:r>
      <w:proofErr w:type="spellStart"/>
      <w:r w:rsidRPr="00925DB3">
        <w:rPr>
          <w:sz w:val="20"/>
          <w:szCs w:val="20"/>
        </w:rPr>
        <w:t>pensée</w:t>
      </w:r>
      <w:proofErr w:type="spellEnd"/>
      <w:r w:rsidRPr="00925DB3">
        <w:rPr>
          <w:sz w:val="20"/>
          <w:szCs w:val="20"/>
        </w:rPr>
        <w:t xml:space="preserve"> </w:t>
      </w:r>
      <w:proofErr w:type="spellStart"/>
      <w:r w:rsidRPr="00925DB3">
        <w:rPr>
          <w:sz w:val="20"/>
          <w:szCs w:val="20"/>
        </w:rPr>
        <w:t>européenne</w:t>
      </w:r>
      <w:proofErr w:type="spellEnd"/>
      <w:r w:rsidRPr="00925DB3">
        <w:rPr>
          <w:sz w:val="20"/>
          <w:szCs w:val="20"/>
        </w:rPr>
        <w:t xml:space="preserve">. </w:t>
      </w:r>
      <w:proofErr w:type="spellStart"/>
      <w:r w:rsidRPr="00925DB3">
        <w:rPr>
          <w:sz w:val="20"/>
          <w:szCs w:val="20"/>
        </w:rPr>
        <w:t>Elles</w:t>
      </w:r>
      <w:proofErr w:type="spellEnd"/>
      <w:r w:rsidRPr="00925DB3">
        <w:rPr>
          <w:sz w:val="20"/>
          <w:szCs w:val="20"/>
        </w:rPr>
        <w:t xml:space="preserve"> </w:t>
      </w:r>
      <w:proofErr w:type="spellStart"/>
      <w:r w:rsidRPr="00925DB3">
        <w:rPr>
          <w:sz w:val="20"/>
          <w:szCs w:val="20"/>
        </w:rPr>
        <w:t>sont</w:t>
      </w:r>
      <w:proofErr w:type="spellEnd"/>
      <w:r w:rsidRPr="00925DB3">
        <w:rPr>
          <w:sz w:val="20"/>
          <w:szCs w:val="20"/>
        </w:rPr>
        <w:t xml:space="preserve"> </w:t>
      </w:r>
      <w:proofErr w:type="spellStart"/>
      <w:r w:rsidRPr="00925DB3">
        <w:rPr>
          <w:sz w:val="20"/>
          <w:szCs w:val="20"/>
        </w:rPr>
        <w:t>toutes</w:t>
      </w:r>
      <w:proofErr w:type="spellEnd"/>
      <w:r w:rsidRPr="00925DB3">
        <w:rPr>
          <w:sz w:val="20"/>
          <w:szCs w:val="20"/>
        </w:rPr>
        <w:t xml:space="preserve"> </w:t>
      </w:r>
      <w:proofErr w:type="spellStart"/>
      <w:r w:rsidRPr="00925DB3">
        <w:rPr>
          <w:sz w:val="20"/>
          <w:szCs w:val="20"/>
        </w:rPr>
        <w:t>deux</w:t>
      </w:r>
      <w:proofErr w:type="spellEnd"/>
      <w:r w:rsidRPr="00925DB3">
        <w:rPr>
          <w:sz w:val="20"/>
          <w:szCs w:val="20"/>
        </w:rPr>
        <w:t xml:space="preserve"> </w:t>
      </w:r>
      <w:proofErr w:type="spellStart"/>
      <w:r w:rsidRPr="00925DB3">
        <w:rPr>
          <w:sz w:val="20"/>
          <w:szCs w:val="20"/>
        </w:rPr>
        <w:t>généreuses</w:t>
      </w:r>
      <w:proofErr w:type="spellEnd"/>
      <w:r w:rsidRPr="00925DB3">
        <w:rPr>
          <w:sz w:val="20"/>
          <w:szCs w:val="20"/>
        </w:rPr>
        <w:t xml:space="preserve"> et </w:t>
      </w:r>
      <w:proofErr w:type="spellStart"/>
      <w:r w:rsidRPr="00925DB3">
        <w:rPr>
          <w:sz w:val="20"/>
          <w:szCs w:val="20"/>
        </w:rPr>
        <w:t>pacifiques</w:t>
      </w:r>
      <w:proofErr w:type="spellEnd"/>
      <w:r w:rsidRPr="00925DB3">
        <w:rPr>
          <w:sz w:val="20"/>
          <w:szCs w:val="20"/>
        </w:rPr>
        <w:t xml:space="preserve">. </w:t>
      </w:r>
      <w:proofErr w:type="spellStart"/>
      <w:r w:rsidRPr="00925DB3">
        <w:rPr>
          <w:sz w:val="20"/>
          <w:szCs w:val="20"/>
        </w:rPr>
        <w:t>Mais</w:t>
      </w:r>
      <w:proofErr w:type="spellEnd"/>
      <w:r w:rsidRPr="00925DB3">
        <w:rPr>
          <w:sz w:val="20"/>
          <w:szCs w:val="20"/>
        </w:rPr>
        <w:t xml:space="preserve"> </w:t>
      </w:r>
      <w:proofErr w:type="spellStart"/>
      <w:r w:rsidRPr="00925DB3">
        <w:rPr>
          <w:sz w:val="20"/>
          <w:szCs w:val="20"/>
        </w:rPr>
        <w:t>celle</w:t>
      </w:r>
      <w:proofErr w:type="spellEnd"/>
      <w:r w:rsidRPr="00925DB3">
        <w:rPr>
          <w:sz w:val="20"/>
          <w:szCs w:val="20"/>
        </w:rPr>
        <w:t xml:space="preserve"> de </w:t>
      </w:r>
      <w:proofErr w:type="spellStart"/>
      <w:r w:rsidRPr="00925DB3">
        <w:rPr>
          <w:sz w:val="20"/>
          <w:szCs w:val="20"/>
        </w:rPr>
        <w:t>Tolstoï</w:t>
      </w:r>
      <w:proofErr w:type="spellEnd"/>
      <w:r w:rsidRPr="00925DB3">
        <w:rPr>
          <w:sz w:val="20"/>
          <w:szCs w:val="20"/>
        </w:rPr>
        <w:t xml:space="preserve"> </w:t>
      </w:r>
      <w:proofErr w:type="spellStart"/>
      <w:r w:rsidRPr="00925DB3">
        <w:rPr>
          <w:sz w:val="20"/>
          <w:szCs w:val="20"/>
        </w:rPr>
        <w:t>est</w:t>
      </w:r>
      <w:proofErr w:type="spellEnd"/>
      <w:r w:rsidRPr="00925DB3">
        <w:rPr>
          <w:sz w:val="20"/>
          <w:szCs w:val="20"/>
        </w:rPr>
        <w:t xml:space="preserve"> la </w:t>
      </w:r>
      <w:proofErr w:type="spellStart"/>
      <w:r w:rsidRPr="00925DB3">
        <w:rPr>
          <w:sz w:val="20"/>
          <w:szCs w:val="20"/>
        </w:rPr>
        <w:t>cité</w:t>
      </w:r>
      <w:proofErr w:type="spellEnd"/>
      <w:r w:rsidRPr="00925DB3">
        <w:rPr>
          <w:sz w:val="20"/>
          <w:szCs w:val="20"/>
        </w:rPr>
        <w:t xml:space="preserve"> de la </w:t>
      </w:r>
      <w:proofErr w:type="spellStart"/>
      <w:r w:rsidRPr="00925DB3">
        <w:rPr>
          <w:sz w:val="20"/>
          <w:szCs w:val="20"/>
        </w:rPr>
        <w:t>résignation</w:t>
      </w:r>
      <w:proofErr w:type="spellEnd"/>
      <w:r w:rsidRPr="00925DB3">
        <w:rPr>
          <w:sz w:val="20"/>
          <w:szCs w:val="20"/>
        </w:rPr>
        <w:t xml:space="preserve">. Celle de Zola </w:t>
      </w:r>
      <w:proofErr w:type="spellStart"/>
      <w:r w:rsidRPr="00925DB3">
        <w:rPr>
          <w:sz w:val="20"/>
          <w:szCs w:val="20"/>
        </w:rPr>
        <w:t>est</w:t>
      </w:r>
      <w:proofErr w:type="spellEnd"/>
      <w:r w:rsidRPr="00925DB3">
        <w:rPr>
          <w:sz w:val="20"/>
          <w:szCs w:val="20"/>
        </w:rPr>
        <w:t xml:space="preserve"> la </w:t>
      </w:r>
      <w:proofErr w:type="spellStart"/>
      <w:r w:rsidRPr="00925DB3">
        <w:rPr>
          <w:sz w:val="20"/>
          <w:szCs w:val="20"/>
        </w:rPr>
        <w:t>cité</w:t>
      </w:r>
      <w:proofErr w:type="spellEnd"/>
      <w:r w:rsidRPr="00925DB3">
        <w:rPr>
          <w:sz w:val="20"/>
          <w:szCs w:val="20"/>
        </w:rPr>
        <w:t xml:space="preserve"> du travail.</w:t>
      </w:r>
      <w:r w:rsidR="00D825FE" w:rsidRPr="00925DB3">
        <w:rPr>
          <w:sz w:val="20"/>
          <w:szCs w:val="20"/>
        </w:rPr>
        <w:t>”</w:t>
      </w:r>
      <w:r w:rsidR="00973D4A">
        <w:rPr>
          <w:sz w:val="20"/>
          <w:szCs w:val="20"/>
        </w:rPr>
        <w:t>]</w:t>
      </w:r>
      <w:r w:rsidRPr="00925DB3">
        <w:rPr>
          <w:sz w:val="20"/>
          <w:szCs w:val="20"/>
        </w:rPr>
        <w:t xml:space="preserve"> </w:t>
      </w:r>
      <w:r w:rsidR="00F50FFB">
        <w:rPr>
          <w:sz w:val="20"/>
          <w:szCs w:val="20"/>
        </w:rPr>
        <w:t>“</w:t>
      </w:r>
      <w:r w:rsidRPr="00925DB3">
        <w:rPr>
          <w:sz w:val="20"/>
          <w:szCs w:val="20"/>
        </w:rPr>
        <w:t xml:space="preserve">Anatole France, 5 </w:t>
      </w:r>
      <w:proofErr w:type="spellStart"/>
      <w:r w:rsidRPr="00925DB3">
        <w:rPr>
          <w:sz w:val="20"/>
          <w:szCs w:val="20"/>
        </w:rPr>
        <w:t>octobre</w:t>
      </w:r>
      <w:proofErr w:type="spellEnd"/>
      <w:r w:rsidRPr="00925DB3">
        <w:rPr>
          <w:sz w:val="20"/>
          <w:szCs w:val="20"/>
        </w:rPr>
        <w:t xml:space="preserve"> 1902, sur Emile Zola</w:t>
      </w:r>
      <w:r w:rsidR="00F50FFB">
        <w:rPr>
          <w:sz w:val="20"/>
          <w:szCs w:val="20"/>
        </w:rPr>
        <w:t>”</w:t>
      </w:r>
      <w:r w:rsidR="00D825FE" w:rsidRPr="00925DB3">
        <w:rPr>
          <w:sz w:val="20"/>
          <w:szCs w:val="20"/>
        </w:rPr>
        <w:t xml:space="preserve">, in: Edmond </w:t>
      </w:r>
      <w:proofErr w:type="spellStart"/>
      <w:r w:rsidR="00D825FE" w:rsidRPr="00925DB3">
        <w:rPr>
          <w:sz w:val="20"/>
          <w:szCs w:val="20"/>
        </w:rPr>
        <w:t>Lepelletier</w:t>
      </w:r>
      <w:proofErr w:type="spellEnd"/>
      <w:r w:rsidR="00D825FE" w:rsidRPr="00925DB3">
        <w:rPr>
          <w:sz w:val="20"/>
          <w:szCs w:val="20"/>
        </w:rPr>
        <w:t xml:space="preserve">: </w:t>
      </w:r>
      <w:r w:rsidR="00D825FE" w:rsidRPr="00F50FFB">
        <w:rPr>
          <w:i/>
          <w:sz w:val="20"/>
          <w:szCs w:val="20"/>
        </w:rPr>
        <w:t>Émile Zola. Sa vie – son oeuvre</w:t>
      </w:r>
      <w:r w:rsidR="00D825FE" w:rsidRPr="00F50FFB">
        <w:rPr>
          <w:sz w:val="20"/>
          <w:szCs w:val="20"/>
        </w:rPr>
        <w:t>. Paris: Mercure de France, 1908, 477.</w:t>
      </w:r>
    </w:p>
  </w:footnote>
  <w:footnote w:id="45">
    <w:p w:rsidR="00CB2F62" w:rsidRPr="00466D18" w:rsidRDefault="00CB2F62" w:rsidP="00CB2F62">
      <w:pPr>
        <w:rPr>
          <w:sz w:val="20"/>
          <w:szCs w:val="20"/>
          <w:lang w:val="de-DE"/>
        </w:rPr>
      </w:pPr>
      <w:r>
        <w:rPr>
          <w:rStyle w:val="FootnoteReference"/>
        </w:rPr>
        <w:footnoteRef/>
      </w:r>
      <w:r w:rsidRPr="00CB2F62">
        <w:rPr>
          <w:lang w:val="de-DE"/>
        </w:rPr>
        <w:t xml:space="preserve"> </w:t>
      </w:r>
      <w:r w:rsidRPr="00466D18">
        <w:rPr>
          <w:sz w:val="20"/>
          <w:szCs w:val="20"/>
          <w:lang w:val="de-DE"/>
        </w:rPr>
        <w:t xml:space="preserve">M. </w:t>
      </w:r>
      <w:proofErr w:type="spellStart"/>
      <w:r w:rsidRPr="00466D18">
        <w:rPr>
          <w:sz w:val="20"/>
          <w:szCs w:val="20"/>
          <w:lang w:val="de-DE"/>
        </w:rPr>
        <w:t>Laarmann</w:t>
      </w:r>
      <w:proofErr w:type="spellEnd"/>
      <w:r w:rsidRPr="00466D18">
        <w:rPr>
          <w:sz w:val="20"/>
          <w:szCs w:val="20"/>
          <w:lang w:val="de-DE"/>
        </w:rPr>
        <w:t xml:space="preserve">: Resignation, resignieren. </w:t>
      </w:r>
      <w:r w:rsidRPr="00F50FFB">
        <w:rPr>
          <w:sz w:val="20"/>
          <w:szCs w:val="20"/>
          <w:lang w:val="de-DE"/>
        </w:rPr>
        <w:t xml:space="preserve">In: </w:t>
      </w:r>
      <w:r w:rsidR="00F50FFB" w:rsidRPr="00F50FFB">
        <w:rPr>
          <w:i/>
          <w:sz w:val="20"/>
          <w:szCs w:val="20"/>
          <w:lang w:val="de-DE"/>
        </w:rPr>
        <w:t>Historisches Wörterbuch der Philosophie</w:t>
      </w:r>
      <w:r w:rsidRPr="00F50FFB">
        <w:rPr>
          <w:sz w:val="20"/>
          <w:szCs w:val="20"/>
          <w:lang w:val="de-DE"/>
        </w:rPr>
        <w:t xml:space="preserve">, 909-916. </w:t>
      </w:r>
      <w:r w:rsidRPr="00466D18">
        <w:rPr>
          <w:sz w:val="20"/>
          <w:szCs w:val="20"/>
          <w:lang w:val="de-DE"/>
        </w:rPr>
        <w:t xml:space="preserve">Bei Thomas von Kempen heißt es beispielsweise: </w:t>
      </w:r>
      <w:proofErr w:type="gramStart"/>
      <w:r w:rsidRPr="00466D18">
        <w:rPr>
          <w:sz w:val="20"/>
          <w:szCs w:val="20"/>
          <w:lang w:val="de-DE"/>
        </w:rPr>
        <w:t>„</w:t>
      </w:r>
      <w:proofErr w:type="gramEnd"/>
      <w:r w:rsidRPr="00466D18">
        <w:rPr>
          <w:sz w:val="20"/>
          <w:szCs w:val="20"/>
          <w:lang w:val="de-DE"/>
        </w:rPr>
        <w:t xml:space="preserve">wenn du würdig für Gott leben willst, </w:t>
      </w:r>
      <w:proofErr w:type="spellStart"/>
      <w:r w:rsidRPr="00466D18">
        <w:rPr>
          <w:sz w:val="20"/>
          <w:szCs w:val="20"/>
          <w:lang w:val="de-DE"/>
        </w:rPr>
        <w:t>mußt</w:t>
      </w:r>
      <w:proofErr w:type="spellEnd"/>
      <w:r w:rsidRPr="00466D18">
        <w:rPr>
          <w:sz w:val="20"/>
          <w:szCs w:val="20"/>
          <w:lang w:val="de-DE"/>
        </w:rPr>
        <w:t xml:space="preserve"> du dich selbst ihm hingeben“ (910)</w:t>
      </w:r>
    </w:p>
    <w:p w:rsidR="00CB2F62" w:rsidRPr="00CB2F62" w:rsidRDefault="00CB2F62" w:rsidP="00CB2F62">
      <w:pPr>
        <w:rPr>
          <w:lang w:val="de-DE"/>
        </w:rPr>
      </w:pPr>
      <w:r w:rsidRPr="00466D18">
        <w:rPr>
          <w:sz w:val="20"/>
          <w:szCs w:val="20"/>
          <w:lang w:val="de-DE"/>
        </w:rPr>
        <w:t xml:space="preserve">„Die lateinische Übersetzung Joh. </w:t>
      </w:r>
      <w:proofErr w:type="spellStart"/>
      <w:r w:rsidRPr="00466D18">
        <w:rPr>
          <w:sz w:val="20"/>
          <w:szCs w:val="20"/>
          <w:lang w:val="de-DE"/>
        </w:rPr>
        <w:t>Taulers</w:t>
      </w:r>
      <w:proofErr w:type="spellEnd"/>
      <w:r w:rsidRPr="00466D18">
        <w:rPr>
          <w:sz w:val="20"/>
          <w:szCs w:val="20"/>
          <w:lang w:val="de-DE"/>
        </w:rPr>
        <w:t xml:space="preserve"> bietet ‚</w:t>
      </w:r>
      <w:proofErr w:type="spellStart"/>
      <w:r w:rsidRPr="00466D18">
        <w:rPr>
          <w:sz w:val="20"/>
          <w:szCs w:val="20"/>
          <w:lang w:val="de-DE"/>
        </w:rPr>
        <w:t>resignatio</w:t>
      </w:r>
      <w:proofErr w:type="spellEnd"/>
      <w:r w:rsidRPr="00466D18">
        <w:rPr>
          <w:sz w:val="20"/>
          <w:szCs w:val="20"/>
          <w:lang w:val="de-DE"/>
        </w:rPr>
        <w:t>‘ für ‚</w:t>
      </w:r>
      <w:proofErr w:type="spellStart"/>
      <w:r w:rsidRPr="00466D18">
        <w:rPr>
          <w:sz w:val="20"/>
          <w:szCs w:val="20"/>
          <w:lang w:val="de-DE"/>
        </w:rPr>
        <w:t>gelassenheit</w:t>
      </w:r>
      <w:proofErr w:type="spellEnd"/>
      <w:r w:rsidRPr="00466D18">
        <w:rPr>
          <w:sz w:val="20"/>
          <w:szCs w:val="20"/>
          <w:lang w:val="de-DE"/>
        </w:rPr>
        <w:t xml:space="preserve">‘.“ (911) </w:t>
      </w:r>
    </w:p>
  </w:footnote>
  <w:footnote w:id="46">
    <w:p w:rsidR="002A0FDF" w:rsidRPr="00925DB3" w:rsidRDefault="002A0FDF" w:rsidP="00925DB3">
      <w:pPr>
        <w:rPr>
          <w:sz w:val="20"/>
          <w:szCs w:val="20"/>
          <w:lang w:val="de-DE"/>
        </w:rPr>
      </w:pPr>
      <w:r w:rsidRPr="00925DB3">
        <w:rPr>
          <w:rStyle w:val="FootnoteReference"/>
          <w:sz w:val="20"/>
          <w:szCs w:val="20"/>
        </w:rPr>
        <w:footnoteRef/>
      </w:r>
      <w:r w:rsidRPr="00925DB3">
        <w:rPr>
          <w:sz w:val="20"/>
          <w:szCs w:val="20"/>
          <w:lang w:val="de-DE"/>
        </w:rPr>
        <w:t xml:space="preserve"> </w:t>
      </w:r>
      <w:proofErr w:type="spellStart"/>
      <w:r w:rsidRPr="00925DB3">
        <w:rPr>
          <w:sz w:val="20"/>
          <w:szCs w:val="20"/>
          <w:lang w:val="de-DE"/>
        </w:rPr>
        <w:t>Shaoping</w:t>
      </w:r>
      <w:proofErr w:type="spellEnd"/>
      <w:r w:rsidRPr="00925DB3">
        <w:rPr>
          <w:sz w:val="20"/>
          <w:szCs w:val="20"/>
          <w:lang w:val="de-DE"/>
        </w:rPr>
        <w:t xml:space="preserve"> </w:t>
      </w:r>
      <w:proofErr w:type="spellStart"/>
      <w:r w:rsidRPr="00925DB3">
        <w:rPr>
          <w:sz w:val="20"/>
          <w:szCs w:val="20"/>
          <w:lang w:val="de-DE"/>
        </w:rPr>
        <w:t>Gan</w:t>
      </w:r>
      <w:proofErr w:type="spellEnd"/>
      <w:r w:rsidRPr="00925DB3">
        <w:rPr>
          <w:sz w:val="20"/>
          <w:szCs w:val="20"/>
          <w:lang w:val="de-DE"/>
        </w:rPr>
        <w:t>: Die chinesische Philosophie. Die wichtigsten Philosophen, Werke, Schulen und Begriffe. Darmstadt: Wissenschaftliche Buchgesellschaft, 1997.</w:t>
      </w:r>
    </w:p>
  </w:footnote>
  <w:footnote w:id="47">
    <w:p w:rsidR="00655F82" w:rsidRPr="00925DB3" w:rsidRDefault="00655F82" w:rsidP="00925DB3">
      <w:pPr>
        <w:rPr>
          <w:sz w:val="20"/>
          <w:szCs w:val="20"/>
          <w:lang w:val="de-DE"/>
        </w:rPr>
      </w:pPr>
      <w:r w:rsidRPr="00925DB3">
        <w:rPr>
          <w:rStyle w:val="FootnoteReference"/>
          <w:sz w:val="20"/>
          <w:szCs w:val="20"/>
        </w:rPr>
        <w:footnoteRef/>
      </w:r>
      <w:r w:rsidRPr="00925DB3">
        <w:rPr>
          <w:sz w:val="20"/>
          <w:szCs w:val="20"/>
          <w:lang w:val="de-DE"/>
        </w:rPr>
        <w:t xml:space="preserve"> J.J.M. De </w:t>
      </w:r>
      <w:proofErr w:type="spellStart"/>
      <w:r w:rsidRPr="00925DB3">
        <w:rPr>
          <w:sz w:val="20"/>
          <w:szCs w:val="20"/>
          <w:lang w:val="de-DE"/>
        </w:rPr>
        <w:t>Groot</w:t>
      </w:r>
      <w:proofErr w:type="spellEnd"/>
      <w:r w:rsidRPr="00925DB3">
        <w:rPr>
          <w:sz w:val="20"/>
          <w:szCs w:val="20"/>
          <w:lang w:val="de-DE"/>
        </w:rPr>
        <w:t xml:space="preserve">: </w:t>
      </w:r>
      <w:proofErr w:type="spellStart"/>
      <w:r w:rsidRPr="00925DB3">
        <w:rPr>
          <w:sz w:val="20"/>
          <w:szCs w:val="20"/>
          <w:lang w:val="de-DE"/>
        </w:rPr>
        <w:t>Universismus</w:t>
      </w:r>
      <w:proofErr w:type="spellEnd"/>
      <w:r w:rsidRPr="00925DB3">
        <w:rPr>
          <w:sz w:val="20"/>
          <w:szCs w:val="20"/>
          <w:lang w:val="de-DE"/>
        </w:rPr>
        <w:t xml:space="preserve">. Die Grundlagen der Religion und Ethik, des Staatswesens und der Wissenschaften Chinas. Berlin: Georg Reimer, 1918. </w:t>
      </w:r>
    </w:p>
  </w:footnote>
  <w:footnote w:id="48">
    <w:p w:rsidR="002A0FDF" w:rsidRPr="00925DB3" w:rsidRDefault="002A0FDF" w:rsidP="00925DB3">
      <w:pPr>
        <w:rPr>
          <w:sz w:val="20"/>
          <w:szCs w:val="20"/>
          <w:lang w:val="de-DE"/>
        </w:rPr>
      </w:pPr>
      <w:r w:rsidRPr="00925DB3">
        <w:rPr>
          <w:rStyle w:val="FootnoteReference"/>
          <w:sz w:val="20"/>
          <w:szCs w:val="20"/>
        </w:rPr>
        <w:footnoteRef/>
      </w:r>
      <w:r w:rsidRPr="00925DB3">
        <w:rPr>
          <w:sz w:val="20"/>
          <w:szCs w:val="20"/>
          <w:lang w:val="de-DE"/>
        </w:rPr>
        <w:t xml:space="preserve">  „des Menschen Denken und Tun in völligem Einklang mit der Ordnung des Weltalls zu erhalten.“ (29)</w:t>
      </w:r>
    </w:p>
  </w:footnote>
  <w:footnote w:id="49">
    <w:p w:rsidR="002A0FDF" w:rsidRPr="00925DB3" w:rsidRDefault="002A0FDF" w:rsidP="00925DB3">
      <w:pPr>
        <w:rPr>
          <w:sz w:val="20"/>
          <w:szCs w:val="20"/>
          <w:lang w:val="de-DE"/>
        </w:rPr>
      </w:pPr>
      <w:r w:rsidRPr="00925DB3">
        <w:rPr>
          <w:rStyle w:val="FootnoteReference"/>
          <w:sz w:val="20"/>
          <w:szCs w:val="20"/>
        </w:rPr>
        <w:footnoteRef/>
      </w:r>
      <w:r w:rsidRPr="00925DB3">
        <w:rPr>
          <w:sz w:val="20"/>
          <w:szCs w:val="20"/>
          <w:lang w:val="de-DE"/>
        </w:rPr>
        <w:t xml:space="preserve"> „Entwickelt und gefördert werden die himmlischen Eigenschaften des Menschen durch Nachahmung des Weltalls, insbesondere durch Befolgung dessen […] </w:t>
      </w:r>
      <w:r w:rsidRPr="00925DB3">
        <w:rPr>
          <w:i/>
          <w:sz w:val="20"/>
          <w:szCs w:val="20"/>
          <w:lang w:val="de-DE"/>
        </w:rPr>
        <w:t>Wu-wei</w:t>
      </w:r>
      <w:r w:rsidRPr="00925DB3">
        <w:rPr>
          <w:sz w:val="20"/>
          <w:szCs w:val="20"/>
          <w:lang w:val="de-DE"/>
        </w:rPr>
        <w:t xml:space="preserve">, das heißt, durch ein spontanes, </w:t>
      </w:r>
      <w:proofErr w:type="spellStart"/>
      <w:r w:rsidRPr="00925DB3">
        <w:rPr>
          <w:sz w:val="20"/>
          <w:szCs w:val="20"/>
          <w:lang w:val="de-DE"/>
        </w:rPr>
        <w:t>unregsames</w:t>
      </w:r>
      <w:proofErr w:type="spellEnd"/>
      <w:r w:rsidRPr="00925DB3">
        <w:rPr>
          <w:sz w:val="20"/>
          <w:szCs w:val="20"/>
          <w:lang w:val="de-DE"/>
        </w:rPr>
        <w:t xml:space="preserve">, ruhevolles Verhalten, zu dem man durch Unterdrückung oder Beherrschung der Leidenschaften gelangt; man beobachtet ja, wie das </w:t>
      </w:r>
      <w:r w:rsidRPr="00925DB3">
        <w:rPr>
          <w:i/>
          <w:sz w:val="20"/>
          <w:szCs w:val="20"/>
          <w:lang w:val="de-DE"/>
        </w:rPr>
        <w:t>Tao</w:t>
      </w:r>
      <w:r w:rsidRPr="00925DB3">
        <w:rPr>
          <w:sz w:val="20"/>
          <w:szCs w:val="20"/>
          <w:lang w:val="de-DE"/>
        </w:rPr>
        <w:t xml:space="preserve">, der Weg des Weltalls, dieser Quell alles Guten, sein segensreiches Werk der Schöpfung und Erhaltung spontan, [57] ohne </w:t>
      </w:r>
      <w:proofErr w:type="spellStart"/>
      <w:r w:rsidRPr="00925DB3">
        <w:rPr>
          <w:sz w:val="20"/>
          <w:szCs w:val="20"/>
          <w:lang w:val="de-DE"/>
        </w:rPr>
        <w:t>bewußte</w:t>
      </w:r>
      <w:proofErr w:type="spellEnd"/>
      <w:r w:rsidRPr="00925DB3">
        <w:rPr>
          <w:sz w:val="20"/>
          <w:szCs w:val="20"/>
          <w:lang w:val="de-DE"/>
        </w:rPr>
        <w:t xml:space="preserve"> Anstrengung vollbringt, und folgert daraus, </w:t>
      </w:r>
      <w:proofErr w:type="spellStart"/>
      <w:r w:rsidRPr="00925DB3">
        <w:rPr>
          <w:sz w:val="20"/>
          <w:szCs w:val="20"/>
          <w:lang w:val="de-DE"/>
        </w:rPr>
        <w:t>daß</w:t>
      </w:r>
      <w:proofErr w:type="spellEnd"/>
      <w:r w:rsidRPr="00925DB3">
        <w:rPr>
          <w:sz w:val="20"/>
          <w:szCs w:val="20"/>
          <w:lang w:val="de-DE"/>
        </w:rPr>
        <w:t xml:space="preserve"> auch der Mensch in seinem Handeln spontan, regungslos, ohne Streben sein soll, um vollkommen, d.h. dem </w:t>
      </w:r>
      <w:r w:rsidRPr="00925DB3">
        <w:rPr>
          <w:i/>
          <w:sz w:val="20"/>
          <w:szCs w:val="20"/>
          <w:lang w:val="de-DE"/>
        </w:rPr>
        <w:t>Tao</w:t>
      </w:r>
      <w:r w:rsidRPr="00925DB3">
        <w:rPr>
          <w:sz w:val="20"/>
          <w:szCs w:val="20"/>
          <w:lang w:val="de-DE"/>
        </w:rPr>
        <w:t xml:space="preserve"> gleich zu werden.“ (56-57)</w:t>
      </w:r>
    </w:p>
  </w:footnote>
  <w:footnote w:id="50">
    <w:p w:rsidR="00F50FFB" w:rsidRPr="00F50FFB" w:rsidRDefault="00F50FFB">
      <w:pPr>
        <w:pStyle w:val="FootnoteText"/>
        <w:rPr>
          <w:lang w:val="de-DE"/>
        </w:rPr>
      </w:pPr>
      <w:r>
        <w:rPr>
          <w:rStyle w:val="FootnoteReference"/>
        </w:rPr>
        <w:footnoteRef/>
      </w:r>
      <w:r w:rsidRPr="00F50FFB">
        <w:rPr>
          <w:lang w:val="de-DE"/>
        </w:rPr>
        <w:t xml:space="preserve"> </w:t>
      </w:r>
      <w:r>
        <w:rPr>
          <w:lang w:val="de-DE"/>
        </w:rPr>
        <w:t xml:space="preserve">Henri-Frederic </w:t>
      </w:r>
      <w:proofErr w:type="spellStart"/>
      <w:r>
        <w:rPr>
          <w:lang w:val="de-DE"/>
        </w:rPr>
        <w:t>Amiel</w:t>
      </w:r>
      <w:proofErr w:type="spellEnd"/>
      <w:r>
        <w:rPr>
          <w:lang w:val="de-DE"/>
        </w:rPr>
        <w:t xml:space="preserve">: Tag für Tag. Intime </w:t>
      </w:r>
      <w:proofErr w:type="spellStart"/>
      <w:r>
        <w:rPr>
          <w:lang w:val="de-DE"/>
        </w:rPr>
        <w:t>Aufzeichnugen</w:t>
      </w:r>
      <w:proofErr w:type="spellEnd"/>
      <w:r>
        <w:rPr>
          <w:lang w:val="de-DE"/>
        </w:rPr>
        <w:t>. Ausgewählt von Leo Tolstoi. Übersetzt aus dem Französischen von Eleonore Frey. Herausgegeben und mit einem Nachwort versehen von Felix Philipp Ingold. München: Piper, 2018, 24.</w:t>
      </w:r>
    </w:p>
  </w:footnote>
  <w:footnote w:id="51">
    <w:p w:rsidR="00F50FFB" w:rsidRPr="00F50FFB" w:rsidRDefault="00F50FFB">
      <w:pPr>
        <w:pStyle w:val="FootnoteText"/>
        <w:rPr>
          <w:lang w:val="de-DE"/>
        </w:rPr>
      </w:pPr>
      <w:r>
        <w:rPr>
          <w:rStyle w:val="FootnoteReference"/>
        </w:rPr>
        <w:footnoteRef/>
      </w:r>
      <w:r w:rsidRPr="00F50FFB">
        <w:rPr>
          <w:lang w:val="de-DE"/>
        </w:rPr>
        <w:t xml:space="preserve"> </w:t>
      </w:r>
      <w:r>
        <w:rPr>
          <w:lang w:val="de-DE"/>
        </w:rPr>
        <w:t xml:space="preserve">Ebd., 33. </w:t>
      </w:r>
    </w:p>
  </w:footnote>
  <w:footnote w:id="52">
    <w:p w:rsidR="002A0FDF" w:rsidRPr="00925DB3" w:rsidRDefault="002A0FDF" w:rsidP="00925DB3">
      <w:pPr>
        <w:pStyle w:val="FootnoteText"/>
        <w:rPr>
          <w:lang w:val="de-DE"/>
        </w:rPr>
      </w:pPr>
      <w:r w:rsidRPr="00925DB3">
        <w:rPr>
          <w:rStyle w:val="FootnoteReference"/>
        </w:rPr>
        <w:footnoteRef/>
      </w:r>
      <w:r w:rsidRPr="00925DB3">
        <w:rPr>
          <w:lang w:val="de-DE"/>
        </w:rPr>
        <w:t xml:space="preserve"> </w:t>
      </w:r>
      <w:r w:rsidRPr="00925DB3">
        <w:rPr>
          <w:rFonts w:ascii="Code2000" w:hAnsi="Code2000"/>
          <w:lang w:val="de-DE"/>
        </w:rPr>
        <w:t xml:space="preserve">Joh. Sauter: Die altchinesische Metaphysik und ihre Verbundenheit mit der </w:t>
      </w:r>
      <w:proofErr w:type="spellStart"/>
      <w:r w:rsidRPr="00925DB3">
        <w:rPr>
          <w:rFonts w:ascii="Code2000" w:hAnsi="Code2000"/>
          <w:lang w:val="de-DE"/>
        </w:rPr>
        <w:t>abendländischen</w:t>
      </w:r>
      <w:proofErr w:type="spellEnd"/>
      <w:r w:rsidRPr="00925DB3">
        <w:rPr>
          <w:rFonts w:ascii="Code2000" w:hAnsi="Code2000"/>
          <w:lang w:val="de-DE"/>
        </w:rPr>
        <w:t xml:space="preserve">, Archiv </w:t>
      </w:r>
      <w:proofErr w:type="spellStart"/>
      <w:r w:rsidRPr="00925DB3">
        <w:rPr>
          <w:rFonts w:ascii="Code2000" w:hAnsi="Code2000"/>
          <w:lang w:val="de-DE"/>
        </w:rPr>
        <w:t>für</w:t>
      </w:r>
      <w:proofErr w:type="spellEnd"/>
      <w:r w:rsidRPr="00925DB3">
        <w:rPr>
          <w:rFonts w:ascii="Code2000" w:hAnsi="Code2000"/>
          <w:lang w:val="de-DE"/>
        </w:rPr>
        <w:t xml:space="preserve"> Rechts- und Sozialphilosophie, Vol. 28, </w:t>
      </w:r>
      <w:proofErr w:type="spellStart"/>
      <w:r w:rsidRPr="00925DB3">
        <w:rPr>
          <w:rFonts w:ascii="Code2000" w:hAnsi="Code2000"/>
          <w:lang w:val="de-DE"/>
        </w:rPr>
        <w:t>No</w:t>
      </w:r>
      <w:proofErr w:type="spellEnd"/>
      <w:r w:rsidRPr="00925DB3">
        <w:rPr>
          <w:rFonts w:ascii="Code2000" w:hAnsi="Code2000"/>
          <w:lang w:val="de-DE"/>
        </w:rPr>
        <w:t>. 1 (1934/35), pp. 89-105:</w:t>
      </w:r>
    </w:p>
  </w:footnote>
  <w:footnote w:id="53">
    <w:p w:rsidR="00925DB3" w:rsidRPr="00925DB3" w:rsidRDefault="00925DB3" w:rsidP="00925DB3">
      <w:pPr>
        <w:pStyle w:val="FootnoteText"/>
        <w:rPr>
          <w:lang w:val="de-DE"/>
        </w:rPr>
      </w:pPr>
      <w:r w:rsidRPr="00925DB3">
        <w:rPr>
          <w:rStyle w:val="FootnoteReference"/>
        </w:rPr>
        <w:footnoteRef/>
      </w:r>
      <w:r w:rsidRPr="00925DB3">
        <w:rPr>
          <w:lang w:val="de-DE"/>
        </w:rPr>
        <w:t xml:space="preserve"> </w:t>
      </w:r>
      <w:proofErr w:type="spellStart"/>
      <w:r w:rsidRPr="00925DB3">
        <w:rPr>
          <w:lang w:val="de-DE"/>
        </w:rPr>
        <w:t>Masanobu</w:t>
      </w:r>
      <w:proofErr w:type="spellEnd"/>
      <w:r w:rsidRPr="00925DB3">
        <w:rPr>
          <w:lang w:val="de-DE"/>
        </w:rPr>
        <w:t xml:space="preserve"> Fukuoka: Der große Weg hat kein Tor. Nahrung – Anbau – Leben. Pala Verlag, 2019, 38.</w:t>
      </w:r>
    </w:p>
  </w:footnote>
  <w:footnote w:id="54">
    <w:p w:rsidR="0056063C" w:rsidRPr="0056063C" w:rsidRDefault="0056063C">
      <w:pPr>
        <w:pStyle w:val="FootnoteText"/>
        <w:rPr>
          <w:lang w:val="en-CA"/>
        </w:rPr>
      </w:pPr>
      <w:r>
        <w:rPr>
          <w:rStyle w:val="FootnoteReference"/>
        </w:rPr>
        <w:footnoteRef/>
      </w:r>
      <w:r w:rsidRPr="0056063C">
        <w:rPr>
          <w:lang w:val="de-DE"/>
        </w:rPr>
        <w:t xml:space="preserve"> “Der russische Bibeltext gibt </w:t>
      </w:r>
      <w:r>
        <w:rPr>
          <w:lang w:val="de-DE"/>
        </w:rPr>
        <w:t>[</w:t>
      </w:r>
      <w:proofErr w:type="spellStart"/>
      <w:r w:rsidRPr="0056063C">
        <w:rPr>
          <w:lang w:val="de-DE"/>
        </w:rPr>
        <w:t>m</w:t>
      </w:r>
      <w:r>
        <w:rPr>
          <w:lang w:val="de-DE"/>
        </w:rPr>
        <w:t>etanoiete</w:t>
      </w:r>
      <w:proofErr w:type="spellEnd"/>
      <w:r>
        <w:rPr>
          <w:lang w:val="de-DE"/>
        </w:rPr>
        <w:t>] durch das Wort wieder, das den Titel dieser Schrift bildet: ‚</w:t>
      </w:r>
      <w:proofErr w:type="spellStart"/>
      <w:r>
        <w:rPr>
          <w:lang w:val="de-DE"/>
        </w:rPr>
        <w:t>Odumajtes</w:t>
      </w:r>
      <w:proofErr w:type="spellEnd"/>
      <w:r>
        <w:rPr>
          <w:lang w:val="de-DE"/>
        </w:rPr>
        <w:t xml:space="preserve">, Besinnet Euch‘. </w:t>
      </w:r>
      <w:r w:rsidRPr="0056063C">
        <w:rPr>
          <w:lang w:val="en-CA"/>
        </w:rPr>
        <w:t xml:space="preserve">Luther </w:t>
      </w:r>
      <w:proofErr w:type="spellStart"/>
      <w:r w:rsidRPr="0056063C">
        <w:rPr>
          <w:lang w:val="en-CA"/>
        </w:rPr>
        <w:t>übersetzt</w:t>
      </w:r>
      <w:proofErr w:type="spellEnd"/>
      <w:r w:rsidRPr="0056063C">
        <w:rPr>
          <w:lang w:val="en-CA"/>
        </w:rPr>
        <w:t xml:space="preserve"> </w:t>
      </w:r>
      <w:proofErr w:type="spellStart"/>
      <w:r>
        <w:rPr>
          <w:lang w:val="en-CA"/>
        </w:rPr>
        <w:t>stärker</w:t>
      </w:r>
      <w:proofErr w:type="spellEnd"/>
      <w:r>
        <w:rPr>
          <w:lang w:val="en-CA"/>
        </w:rPr>
        <w:t xml:space="preserve">: ‘Tut </w:t>
      </w:r>
      <w:proofErr w:type="spellStart"/>
      <w:r>
        <w:rPr>
          <w:lang w:val="en-CA"/>
        </w:rPr>
        <w:t>Buße</w:t>
      </w:r>
      <w:proofErr w:type="spellEnd"/>
      <w:r>
        <w:rPr>
          <w:lang w:val="en-CA"/>
        </w:rPr>
        <w:t xml:space="preserve">’.” </w:t>
      </w:r>
    </w:p>
  </w:footnote>
  <w:footnote w:id="55">
    <w:p w:rsidR="004E4FE3" w:rsidRPr="00925DB3" w:rsidRDefault="004E4FE3" w:rsidP="00925DB3">
      <w:pPr>
        <w:pStyle w:val="FootnoteText"/>
        <w:rPr>
          <w:lang w:val="en-CA"/>
        </w:rPr>
      </w:pPr>
      <w:r w:rsidRPr="00925DB3">
        <w:rPr>
          <w:rStyle w:val="FootnoteReference"/>
        </w:rPr>
        <w:footnoteRef/>
      </w:r>
      <w:r w:rsidRPr="00925DB3">
        <w:t xml:space="preserve"> </w:t>
      </w:r>
      <w:r w:rsidR="00F50FFB">
        <w:t>[</w:t>
      </w:r>
      <w:r w:rsidRPr="00925DB3">
        <w:t>“He belongs to the twelfth rather than to the nineteenth century. He is a compound of a monk of the Middle Ages and a modern Slav, with the mysticism of the one and the romanticism of the other.”</w:t>
      </w:r>
      <w:r w:rsidR="00F50FFB">
        <w:t>]</w:t>
      </w:r>
    </w:p>
  </w:footnote>
  <w:footnote w:id="56">
    <w:p w:rsidR="00F50FFB" w:rsidRPr="00F50FFB" w:rsidRDefault="00F50FFB" w:rsidP="00F50FFB">
      <w:pPr>
        <w:rPr>
          <w:b/>
          <w:lang w:val="de-DE"/>
        </w:rPr>
      </w:pPr>
      <w:r>
        <w:rPr>
          <w:rStyle w:val="FootnoteReference"/>
        </w:rPr>
        <w:footnoteRef/>
      </w:r>
      <w:r w:rsidRPr="00F50FFB">
        <w:rPr>
          <w:lang w:val="de-DE"/>
        </w:rPr>
        <w:t xml:space="preserve"> </w:t>
      </w:r>
      <w:r w:rsidRPr="00466D18">
        <w:rPr>
          <w:rFonts w:asciiTheme="minorHAnsi" w:eastAsiaTheme="minorHAnsi" w:hAnsiTheme="minorHAnsi" w:cstheme="minorBidi"/>
          <w:sz w:val="20"/>
          <w:szCs w:val="20"/>
          <w:lang w:val="de-DE"/>
        </w:rPr>
        <w:t xml:space="preserve">Bernhard von Clairvaux: Sämtliche Werke VIII. Predigten zum Kirchenjahr. Innsbruck: </w:t>
      </w:r>
      <w:proofErr w:type="spellStart"/>
      <w:r w:rsidRPr="00466D18">
        <w:rPr>
          <w:rFonts w:asciiTheme="minorHAnsi" w:eastAsiaTheme="minorHAnsi" w:hAnsiTheme="minorHAnsi" w:cstheme="minorBidi"/>
          <w:sz w:val="20"/>
          <w:szCs w:val="20"/>
          <w:lang w:val="de-DE"/>
        </w:rPr>
        <w:t>Tyrolia</w:t>
      </w:r>
      <w:proofErr w:type="spellEnd"/>
      <w:r w:rsidRPr="00466D18">
        <w:rPr>
          <w:rFonts w:asciiTheme="minorHAnsi" w:eastAsiaTheme="minorHAnsi" w:hAnsiTheme="minorHAnsi" w:cstheme="minorBidi"/>
          <w:sz w:val="20"/>
          <w:szCs w:val="20"/>
          <w:lang w:val="de-DE"/>
        </w:rPr>
        <w:t xml:space="preserve"> Verlag, 1997, “Zum Fest der Apostel Petrus und Paulus”, 447-473, hier: 451.</w:t>
      </w:r>
      <w:r>
        <w:rPr>
          <w:lang w:val="de-DE"/>
        </w:rPr>
        <w:t xml:space="preserve"> </w:t>
      </w:r>
    </w:p>
  </w:footnote>
  <w:footnote w:id="57">
    <w:p w:rsidR="00096DA2" w:rsidRPr="00096DA2" w:rsidRDefault="00096DA2" w:rsidP="00096DA2">
      <w:pPr>
        <w:rPr>
          <w:b/>
          <w:lang w:val="de-DE"/>
        </w:rPr>
      </w:pPr>
      <w:r>
        <w:rPr>
          <w:rStyle w:val="FootnoteReference"/>
        </w:rPr>
        <w:footnoteRef/>
      </w:r>
      <w:r w:rsidRPr="00096DA2">
        <w:rPr>
          <w:lang w:val="de-DE"/>
        </w:rPr>
        <w:t xml:space="preserve"> </w:t>
      </w:r>
      <w:r w:rsidRPr="00466D18">
        <w:rPr>
          <w:rFonts w:asciiTheme="minorHAnsi" w:eastAsiaTheme="minorHAnsi" w:hAnsiTheme="minorHAnsi" w:cstheme="minorBidi"/>
          <w:sz w:val="20"/>
          <w:szCs w:val="20"/>
          <w:lang w:val="de-DE"/>
        </w:rPr>
        <w:t xml:space="preserve">Bernhard von Clairvaux: Sämtliche Werke lateinisch/deutsch V. Innsbruck: </w:t>
      </w:r>
      <w:proofErr w:type="spellStart"/>
      <w:r w:rsidRPr="00466D18">
        <w:rPr>
          <w:rFonts w:asciiTheme="minorHAnsi" w:eastAsiaTheme="minorHAnsi" w:hAnsiTheme="minorHAnsi" w:cstheme="minorBidi"/>
          <w:sz w:val="20"/>
          <w:szCs w:val="20"/>
          <w:lang w:val="de-DE"/>
        </w:rPr>
        <w:t>Tyrolia</w:t>
      </w:r>
      <w:proofErr w:type="spellEnd"/>
      <w:r w:rsidRPr="00466D18">
        <w:rPr>
          <w:rFonts w:asciiTheme="minorHAnsi" w:eastAsiaTheme="minorHAnsi" w:hAnsiTheme="minorHAnsi" w:cstheme="minorBidi"/>
          <w:sz w:val="20"/>
          <w:szCs w:val="20"/>
          <w:lang w:val="de-DE"/>
        </w:rPr>
        <w:t xml:space="preserve">-Verlag, 1994, </w:t>
      </w:r>
      <w:proofErr w:type="spellStart"/>
      <w:r w:rsidRPr="00466D18">
        <w:rPr>
          <w:rFonts w:asciiTheme="minorHAnsi" w:eastAsiaTheme="minorHAnsi" w:hAnsiTheme="minorHAnsi" w:cstheme="minorBidi"/>
          <w:sz w:val="20"/>
          <w:szCs w:val="20"/>
          <w:lang w:val="de-DE"/>
        </w:rPr>
        <w:t>Sermones</w:t>
      </w:r>
      <w:proofErr w:type="spellEnd"/>
      <w:r w:rsidRPr="00466D18">
        <w:rPr>
          <w:rFonts w:asciiTheme="minorHAnsi" w:eastAsiaTheme="minorHAnsi" w:hAnsiTheme="minorHAnsi" w:cstheme="minorBidi"/>
          <w:sz w:val="20"/>
          <w:szCs w:val="20"/>
          <w:lang w:val="de-DE"/>
        </w:rPr>
        <w:t xml:space="preserve"> super </w:t>
      </w:r>
      <w:proofErr w:type="spellStart"/>
      <w:r w:rsidRPr="00466D18">
        <w:rPr>
          <w:rFonts w:asciiTheme="minorHAnsi" w:eastAsiaTheme="minorHAnsi" w:hAnsiTheme="minorHAnsi" w:cstheme="minorBidi"/>
          <w:sz w:val="20"/>
          <w:szCs w:val="20"/>
          <w:lang w:val="de-DE"/>
        </w:rPr>
        <w:t>Cantica</w:t>
      </w:r>
      <w:proofErr w:type="spellEnd"/>
      <w:r w:rsidRPr="00466D18">
        <w:rPr>
          <w:rFonts w:asciiTheme="minorHAnsi" w:eastAsiaTheme="minorHAnsi" w:hAnsiTheme="minorHAnsi" w:cstheme="minorBidi"/>
          <w:sz w:val="20"/>
          <w:szCs w:val="20"/>
          <w:lang w:val="de-DE"/>
        </w:rPr>
        <w:t xml:space="preserve"> </w:t>
      </w:r>
      <w:proofErr w:type="spellStart"/>
      <w:r w:rsidRPr="00466D18">
        <w:rPr>
          <w:rFonts w:asciiTheme="minorHAnsi" w:eastAsiaTheme="minorHAnsi" w:hAnsiTheme="minorHAnsi" w:cstheme="minorBidi"/>
          <w:sz w:val="20"/>
          <w:szCs w:val="20"/>
          <w:lang w:val="de-DE"/>
        </w:rPr>
        <w:t>Canticorum</w:t>
      </w:r>
      <w:proofErr w:type="spellEnd"/>
      <w:r w:rsidRPr="00466D18">
        <w:rPr>
          <w:rFonts w:asciiTheme="minorHAnsi" w:eastAsiaTheme="minorHAnsi" w:hAnsiTheme="minorHAnsi" w:cstheme="minorBidi"/>
          <w:sz w:val="20"/>
          <w:szCs w:val="20"/>
          <w:lang w:val="de-DE"/>
        </w:rPr>
        <w:t xml:space="preserve">/Predigten über das Hohe Lied. 36. </w:t>
      </w:r>
      <w:r w:rsidRPr="00096DA2">
        <w:rPr>
          <w:rFonts w:asciiTheme="minorHAnsi" w:eastAsiaTheme="minorHAnsi" w:hAnsiTheme="minorHAnsi" w:cstheme="minorBidi"/>
          <w:sz w:val="20"/>
          <w:szCs w:val="20"/>
          <w:lang w:val="de-DE"/>
        </w:rPr>
        <w:t>Predigt, 561.</w:t>
      </w:r>
    </w:p>
  </w:footnote>
  <w:footnote w:id="58">
    <w:p w:rsidR="00096DA2" w:rsidRPr="00096DA2" w:rsidRDefault="00096DA2">
      <w:pPr>
        <w:pStyle w:val="FootnoteText"/>
        <w:rPr>
          <w:lang w:val="de-DE"/>
        </w:rPr>
      </w:pPr>
      <w:r>
        <w:rPr>
          <w:rStyle w:val="FootnoteReference"/>
        </w:rPr>
        <w:footnoteRef/>
      </w:r>
      <w:r w:rsidRPr="00096DA2">
        <w:rPr>
          <w:lang w:val="de-DE"/>
        </w:rPr>
        <w:t xml:space="preserve"> </w:t>
      </w:r>
      <w:r>
        <w:rPr>
          <w:lang w:val="de-DE"/>
        </w:rPr>
        <w:t>Ebd., 565.</w:t>
      </w:r>
    </w:p>
  </w:footnote>
  <w:footnote w:id="59">
    <w:p w:rsidR="00096DA2" w:rsidRPr="00096DA2" w:rsidRDefault="00096DA2">
      <w:pPr>
        <w:pStyle w:val="FootnoteText"/>
        <w:rPr>
          <w:lang w:val="de-DE"/>
        </w:rPr>
      </w:pPr>
      <w:r>
        <w:rPr>
          <w:rStyle w:val="FootnoteReference"/>
        </w:rPr>
        <w:footnoteRef/>
      </w:r>
      <w:r w:rsidRPr="00096DA2">
        <w:rPr>
          <w:lang w:val="de-DE"/>
        </w:rPr>
        <w:t xml:space="preserve"> </w:t>
      </w:r>
      <w:r>
        <w:rPr>
          <w:lang w:val="de-DE"/>
        </w:rPr>
        <w:t>Ebd., 565.</w:t>
      </w:r>
    </w:p>
  </w:footnote>
  <w:footnote w:id="60">
    <w:p w:rsidR="00096DA2" w:rsidRPr="00096DA2" w:rsidRDefault="00096DA2">
      <w:pPr>
        <w:pStyle w:val="FootnoteText"/>
        <w:rPr>
          <w:lang w:val="de-DE"/>
        </w:rPr>
      </w:pPr>
      <w:r>
        <w:rPr>
          <w:rStyle w:val="FootnoteReference"/>
        </w:rPr>
        <w:footnoteRef/>
      </w:r>
      <w:r w:rsidRPr="00466D18">
        <w:rPr>
          <w:lang w:val="de-DE"/>
        </w:rPr>
        <w:t xml:space="preserve"> </w:t>
      </w:r>
      <w:r>
        <w:rPr>
          <w:lang w:val="de-DE"/>
        </w:rPr>
        <w:t xml:space="preserve">Ebd., 569. </w:t>
      </w:r>
    </w:p>
  </w:footnote>
  <w:footnote w:id="61">
    <w:p w:rsidR="00A6786C" w:rsidRPr="00925DB3" w:rsidRDefault="00A6786C" w:rsidP="00925DB3">
      <w:pPr>
        <w:rPr>
          <w:sz w:val="20"/>
          <w:szCs w:val="20"/>
          <w:lang w:val="de-DE"/>
        </w:rPr>
      </w:pPr>
      <w:r w:rsidRPr="00925DB3">
        <w:rPr>
          <w:rStyle w:val="FootnoteReference"/>
          <w:sz w:val="20"/>
          <w:szCs w:val="20"/>
        </w:rPr>
        <w:footnoteRef/>
      </w:r>
      <w:r w:rsidRPr="00CE1D82">
        <w:rPr>
          <w:sz w:val="20"/>
          <w:szCs w:val="20"/>
          <w:lang w:val="de-DE"/>
        </w:rPr>
        <w:t xml:space="preserve"> An S.L. Tolstoi und T.L. </w:t>
      </w:r>
      <w:proofErr w:type="spellStart"/>
      <w:r w:rsidRPr="00CE1D82">
        <w:rPr>
          <w:sz w:val="20"/>
          <w:szCs w:val="20"/>
          <w:lang w:val="de-DE"/>
        </w:rPr>
        <w:t>Suchotina</w:t>
      </w:r>
      <w:proofErr w:type="spellEnd"/>
      <w:r w:rsidRPr="00CE1D82">
        <w:rPr>
          <w:sz w:val="20"/>
          <w:szCs w:val="20"/>
          <w:lang w:val="de-DE"/>
        </w:rPr>
        <w:t xml:space="preserve">, 1. </w:t>
      </w:r>
      <w:r w:rsidRPr="00925DB3">
        <w:rPr>
          <w:sz w:val="20"/>
          <w:szCs w:val="20"/>
          <w:lang w:val="de-DE"/>
        </w:rPr>
        <w:t xml:space="preserve">November 1910, Sergej </w:t>
      </w:r>
      <w:proofErr w:type="spellStart"/>
      <w:r w:rsidRPr="00925DB3">
        <w:rPr>
          <w:sz w:val="20"/>
          <w:szCs w:val="20"/>
          <w:lang w:val="de-DE"/>
        </w:rPr>
        <w:t>Lwowitsch</w:t>
      </w:r>
      <w:proofErr w:type="spellEnd"/>
      <w:r w:rsidRPr="00925DB3">
        <w:rPr>
          <w:sz w:val="20"/>
          <w:szCs w:val="20"/>
          <w:lang w:val="de-DE"/>
        </w:rPr>
        <w:t xml:space="preserve"> Graf Tolstoi (1863-1947), ältester Sohn Tolstois (</w:t>
      </w:r>
      <w:proofErr w:type="spellStart"/>
      <w:r w:rsidRPr="00925DB3">
        <w:rPr>
          <w:sz w:val="20"/>
          <w:szCs w:val="20"/>
          <w:lang w:val="de-DE"/>
        </w:rPr>
        <w:t>Serjosha</w:t>
      </w:r>
      <w:proofErr w:type="spellEnd"/>
      <w:r w:rsidRPr="00925DB3">
        <w:rPr>
          <w:sz w:val="20"/>
          <w:szCs w:val="20"/>
          <w:lang w:val="de-DE"/>
        </w:rPr>
        <w:t xml:space="preserve">) und Tatjana </w:t>
      </w:r>
      <w:proofErr w:type="spellStart"/>
      <w:r w:rsidRPr="00925DB3">
        <w:rPr>
          <w:sz w:val="20"/>
          <w:szCs w:val="20"/>
          <w:lang w:val="de-DE"/>
        </w:rPr>
        <w:t>Lwowna</w:t>
      </w:r>
      <w:proofErr w:type="spellEnd"/>
      <w:r w:rsidRPr="00925DB3">
        <w:rPr>
          <w:sz w:val="20"/>
          <w:szCs w:val="20"/>
          <w:lang w:val="de-DE"/>
        </w:rPr>
        <w:t xml:space="preserve"> </w:t>
      </w:r>
      <w:proofErr w:type="spellStart"/>
      <w:r w:rsidRPr="00925DB3">
        <w:rPr>
          <w:sz w:val="20"/>
          <w:szCs w:val="20"/>
          <w:lang w:val="de-DE"/>
        </w:rPr>
        <w:t>Suchotima</w:t>
      </w:r>
      <w:proofErr w:type="spellEnd"/>
      <w:r w:rsidRPr="00925DB3">
        <w:rPr>
          <w:sz w:val="20"/>
          <w:szCs w:val="20"/>
          <w:lang w:val="de-DE"/>
        </w:rPr>
        <w:t xml:space="preserve">, geborene Gräfin </w:t>
      </w:r>
      <w:proofErr w:type="spellStart"/>
      <w:r w:rsidRPr="00925DB3">
        <w:rPr>
          <w:sz w:val="20"/>
          <w:szCs w:val="20"/>
          <w:lang w:val="de-DE"/>
        </w:rPr>
        <w:t>Tolstaja</w:t>
      </w:r>
      <w:proofErr w:type="spellEnd"/>
      <w:r w:rsidRPr="00925DB3">
        <w:rPr>
          <w:sz w:val="20"/>
          <w:szCs w:val="20"/>
          <w:lang w:val="de-DE"/>
        </w:rPr>
        <w:t xml:space="preserve"> (1864-1950), älteste Tochter Tolstois (Tanja); „das ist der letzte vollständige Brief Tolstois, den er noch selber unterschrieb“ (727)</w:t>
      </w:r>
    </w:p>
  </w:footnote>
  <w:footnote w:id="62">
    <w:p w:rsidR="00136DD5" w:rsidRPr="00925DB3" w:rsidRDefault="00136DD5" w:rsidP="00925DB3">
      <w:pPr>
        <w:rPr>
          <w:sz w:val="20"/>
          <w:szCs w:val="20"/>
          <w:lang w:val="de-DE"/>
        </w:rPr>
      </w:pPr>
      <w:r w:rsidRPr="00925DB3">
        <w:rPr>
          <w:rStyle w:val="FootnoteReference"/>
          <w:sz w:val="20"/>
          <w:szCs w:val="20"/>
        </w:rPr>
        <w:footnoteRef/>
      </w:r>
      <w:r w:rsidRPr="00925DB3">
        <w:rPr>
          <w:sz w:val="20"/>
          <w:szCs w:val="20"/>
          <w:lang w:val="de-DE"/>
        </w:rPr>
        <w:t xml:space="preserve"> An S.L. Tolstoi und T.L. </w:t>
      </w:r>
      <w:proofErr w:type="spellStart"/>
      <w:r w:rsidRPr="00925DB3">
        <w:rPr>
          <w:sz w:val="20"/>
          <w:szCs w:val="20"/>
          <w:lang w:val="de-DE"/>
        </w:rPr>
        <w:t>Suchotina</w:t>
      </w:r>
      <w:proofErr w:type="spellEnd"/>
      <w:r w:rsidRPr="00925DB3">
        <w:rPr>
          <w:sz w:val="20"/>
          <w:szCs w:val="20"/>
          <w:lang w:val="de-DE"/>
        </w:rPr>
        <w:t xml:space="preserve">, 1. November 1910, Sergej </w:t>
      </w:r>
      <w:proofErr w:type="spellStart"/>
      <w:r w:rsidRPr="00925DB3">
        <w:rPr>
          <w:sz w:val="20"/>
          <w:szCs w:val="20"/>
          <w:lang w:val="de-DE"/>
        </w:rPr>
        <w:t>Lwowitsch</w:t>
      </w:r>
      <w:proofErr w:type="spellEnd"/>
      <w:r w:rsidRPr="00925DB3">
        <w:rPr>
          <w:sz w:val="20"/>
          <w:szCs w:val="20"/>
          <w:lang w:val="de-DE"/>
        </w:rPr>
        <w:t xml:space="preserve"> Graf Tolstoi (1863-1947), ältester Sohn Tolstois (</w:t>
      </w:r>
      <w:proofErr w:type="spellStart"/>
      <w:r w:rsidRPr="00925DB3">
        <w:rPr>
          <w:sz w:val="20"/>
          <w:szCs w:val="20"/>
          <w:lang w:val="de-DE"/>
        </w:rPr>
        <w:t>Serjosha</w:t>
      </w:r>
      <w:proofErr w:type="spellEnd"/>
      <w:r w:rsidRPr="00925DB3">
        <w:rPr>
          <w:sz w:val="20"/>
          <w:szCs w:val="20"/>
          <w:lang w:val="de-DE"/>
        </w:rPr>
        <w:t xml:space="preserve">) und Tatjana </w:t>
      </w:r>
      <w:proofErr w:type="spellStart"/>
      <w:r w:rsidRPr="00925DB3">
        <w:rPr>
          <w:sz w:val="20"/>
          <w:szCs w:val="20"/>
          <w:lang w:val="de-DE"/>
        </w:rPr>
        <w:t>Lwowna</w:t>
      </w:r>
      <w:proofErr w:type="spellEnd"/>
      <w:r w:rsidRPr="00925DB3">
        <w:rPr>
          <w:sz w:val="20"/>
          <w:szCs w:val="20"/>
          <w:lang w:val="de-DE"/>
        </w:rPr>
        <w:t xml:space="preserve"> </w:t>
      </w:r>
      <w:proofErr w:type="spellStart"/>
      <w:r w:rsidRPr="00925DB3">
        <w:rPr>
          <w:sz w:val="20"/>
          <w:szCs w:val="20"/>
          <w:lang w:val="de-DE"/>
        </w:rPr>
        <w:t>Suchotima</w:t>
      </w:r>
      <w:proofErr w:type="spellEnd"/>
      <w:r w:rsidRPr="00925DB3">
        <w:rPr>
          <w:sz w:val="20"/>
          <w:szCs w:val="20"/>
          <w:lang w:val="de-DE"/>
        </w:rPr>
        <w:t xml:space="preserve">, geborene Gräfin </w:t>
      </w:r>
      <w:proofErr w:type="spellStart"/>
      <w:r w:rsidRPr="00925DB3">
        <w:rPr>
          <w:sz w:val="20"/>
          <w:szCs w:val="20"/>
          <w:lang w:val="de-DE"/>
        </w:rPr>
        <w:t>Tolstaja</w:t>
      </w:r>
      <w:proofErr w:type="spellEnd"/>
      <w:r w:rsidRPr="00925DB3">
        <w:rPr>
          <w:sz w:val="20"/>
          <w:szCs w:val="20"/>
          <w:lang w:val="de-DE"/>
        </w:rPr>
        <w:t xml:space="preserve"> (1864-1950), älteste Tochter Tolstois (Tanja); „das ist der letzte vollständige Brief Tolstois, den er noch selber unterschrieb“ (727), Briefe: 569. </w:t>
      </w:r>
    </w:p>
  </w:footnote>
  <w:footnote w:id="63">
    <w:p w:rsidR="00136DD5" w:rsidRPr="00925DB3" w:rsidRDefault="00136DD5" w:rsidP="00925DB3">
      <w:pPr>
        <w:rPr>
          <w:sz w:val="20"/>
          <w:szCs w:val="20"/>
          <w:lang w:val="de-DE"/>
        </w:rPr>
      </w:pPr>
      <w:r w:rsidRPr="00925DB3">
        <w:rPr>
          <w:rStyle w:val="FootnoteReference"/>
          <w:sz w:val="20"/>
          <w:szCs w:val="20"/>
        </w:rPr>
        <w:footnoteRef/>
      </w:r>
      <w:r w:rsidRPr="00925DB3">
        <w:rPr>
          <w:sz w:val="20"/>
          <w:szCs w:val="20"/>
          <w:lang w:val="de-DE"/>
        </w:rPr>
        <w:t xml:space="preserve"> Ludwig Stein: Tolstois Stellung in der Geschichte der Philosophie. Archiv für Philosophie. I. Abteilung: Archiv für Geschichte der Philosophie. Neue Folge. XXV. Band, 3. u. 4. Heft, 125-141, hier: 137.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055712"/>
    <w:multiLevelType w:val="hybridMultilevel"/>
    <w:tmpl w:val="FE6C35F4"/>
    <w:lvl w:ilvl="0" w:tplc="8FD441B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037732"/>
    <w:multiLevelType w:val="hybridMultilevel"/>
    <w:tmpl w:val="38D48CBE"/>
    <w:lvl w:ilvl="0" w:tplc="F86A9AE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FB04C1C"/>
    <w:multiLevelType w:val="hybridMultilevel"/>
    <w:tmpl w:val="09DC9D08"/>
    <w:lvl w:ilvl="0" w:tplc="0002B11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B26"/>
    <w:rsid w:val="000100BE"/>
    <w:rsid w:val="00015567"/>
    <w:rsid w:val="000342D7"/>
    <w:rsid w:val="0004142C"/>
    <w:rsid w:val="00043DB0"/>
    <w:rsid w:val="00067543"/>
    <w:rsid w:val="00096DA2"/>
    <w:rsid w:val="000A3B22"/>
    <w:rsid w:val="000C5A03"/>
    <w:rsid w:val="000D360C"/>
    <w:rsid w:val="001231ED"/>
    <w:rsid w:val="00136DD5"/>
    <w:rsid w:val="001401F5"/>
    <w:rsid w:val="00146B7F"/>
    <w:rsid w:val="001601E4"/>
    <w:rsid w:val="0017590E"/>
    <w:rsid w:val="00186E30"/>
    <w:rsid w:val="001A6B4E"/>
    <w:rsid w:val="001D1252"/>
    <w:rsid w:val="001E0D6F"/>
    <w:rsid w:val="001E7B98"/>
    <w:rsid w:val="001F4D3E"/>
    <w:rsid w:val="001F6890"/>
    <w:rsid w:val="00205765"/>
    <w:rsid w:val="00217A3B"/>
    <w:rsid w:val="00227883"/>
    <w:rsid w:val="00233083"/>
    <w:rsid w:val="002460E1"/>
    <w:rsid w:val="002715D4"/>
    <w:rsid w:val="00280BF1"/>
    <w:rsid w:val="002A0FDF"/>
    <w:rsid w:val="002A1740"/>
    <w:rsid w:val="002C2BF9"/>
    <w:rsid w:val="002D2E8E"/>
    <w:rsid w:val="002E2467"/>
    <w:rsid w:val="002E61DF"/>
    <w:rsid w:val="002F0C76"/>
    <w:rsid w:val="002F65A8"/>
    <w:rsid w:val="003004B7"/>
    <w:rsid w:val="00326855"/>
    <w:rsid w:val="0033718A"/>
    <w:rsid w:val="00343502"/>
    <w:rsid w:val="00370A09"/>
    <w:rsid w:val="00381F0E"/>
    <w:rsid w:val="00395CDE"/>
    <w:rsid w:val="003C7051"/>
    <w:rsid w:val="003D1BFA"/>
    <w:rsid w:val="003E6F93"/>
    <w:rsid w:val="00417976"/>
    <w:rsid w:val="004328E1"/>
    <w:rsid w:val="00463414"/>
    <w:rsid w:val="00466D18"/>
    <w:rsid w:val="00477F42"/>
    <w:rsid w:val="00484BEC"/>
    <w:rsid w:val="00494F1C"/>
    <w:rsid w:val="004C7429"/>
    <w:rsid w:val="004E27BA"/>
    <w:rsid w:val="004E4FE3"/>
    <w:rsid w:val="004F1EE8"/>
    <w:rsid w:val="004F62FF"/>
    <w:rsid w:val="004F6EC8"/>
    <w:rsid w:val="00512650"/>
    <w:rsid w:val="00513B55"/>
    <w:rsid w:val="00515DA7"/>
    <w:rsid w:val="00527A1A"/>
    <w:rsid w:val="00527EEF"/>
    <w:rsid w:val="005309FD"/>
    <w:rsid w:val="0053268F"/>
    <w:rsid w:val="00551CDD"/>
    <w:rsid w:val="0055526E"/>
    <w:rsid w:val="0056063C"/>
    <w:rsid w:val="00562A10"/>
    <w:rsid w:val="005A2D3B"/>
    <w:rsid w:val="005E6A4E"/>
    <w:rsid w:val="00634E37"/>
    <w:rsid w:val="00635244"/>
    <w:rsid w:val="006403E5"/>
    <w:rsid w:val="006513A6"/>
    <w:rsid w:val="00653935"/>
    <w:rsid w:val="00655F82"/>
    <w:rsid w:val="00660364"/>
    <w:rsid w:val="00661DCD"/>
    <w:rsid w:val="006702DD"/>
    <w:rsid w:val="006859E7"/>
    <w:rsid w:val="00687795"/>
    <w:rsid w:val="00690478"/>
    <w:rsid w:val="006A3094"/>
    <w:rsid w:val="006A5619"/>
    <w:rsid w:val="006B51E8"/>
    <w:rsid w:val="006D1508"/>
    <w:rsid w:val="006D17E5"/>
    <w:rsid w:val="006D1C9A"/>
    <w:rsid w:val="006E0AF6"/>
    <w:rsid w:val="006E3698"/>
    <w:rsid w:val="006E45BE"/>
    <w:rsid w:val="00713E0B"/>
    <w:rsid w:val="00723E5A"/>
    <w:rsid w:val="00741D2D"/>
    <w:rsid w:val="00742030"/>
    <w:rsid w:val="00742716"/>
    <w:rsid w:val="007629E8"/>
    <w:rsid w:val="00766756"/>
    <w:rsid w:val="00774290"/>
    <w:rsid w:val="00786949"/>
    <w:rsid w:val="007C5F22"/>
    <w:rsid w:val="007D7322"/>
    <w:rsid w:val="007E09DE"/>
    <w:rsid w:val="00817CF3"/>
    <w:rsid w:val="0082286D"/>
    <w:rsid w:val="0082534C"/>
    <w:rsid w:val="008412ED"/>
    <w:rsid w:val="00856657"/>
    <w:rsid w:val="008607D0"/>
    <w:rsid w:val="008636B5"/>
    <w:rsid w:val="008804E3"/>
    <w:rsid w:val="00897300"/>
    <w:rsid w:val="008A0175"/>
    <w:rsid w:val="009026D2"/>
    <w:rsid w:val="00905131"/>
    <w:rsid w:val="00905C6C"/>
    <w:rsid w:val="00916AAC"/>
    <w:rsid w:val="00925DB3"/>
    <w:rsid w:val="00930571"/>
    <w:rsid w:val="0093386C"/>
    <w:rsid w:val="00940249"/>
    <w:rsid w:val="00973D4A"/>
    <w:rsid w:val="00984E7E"/>
    <w:rsid w:val="009A21AE"/>
    <w:rsid w:val="009A23FB"/>
    <w:rsid w:val="009A411D"/>
    <w:rsid w:val="009C3553"/>
    <w:rsid w:val="009E2C3D"/>
    <w:rsid w:val="009F14EE"/>
    <w:rsid w:val="00A01952"/>
    <w:rsid w:val="00A207AE"/>
    <w:rsid w:val="00A26ED7"/>
    <w:rsid w:val="00A47D3D"/>
    <w:rsid w:val="00A542D7"/>
    <w:rsid w:val="00A65E4D"/>
    <w:rsid w:val="00A6786C"/>
    <w:rsid w:val="00AB189C"/>
    <w:rsid w:val="00AB7B08"/>
    <w:rsid w:val="00AC104B"/>
    <w:rsid w:val="00AD0BF5"/>
    <w:rsid w:val="00AD1899"/>
    <w:rsid w:val="00AD1D6C"/>
    <w:rsid w:val="00AD317C"/>
    <w:rsid w:val="00AF23FA"/>
    <w:rsid w:val="00B2203F"/>
    <w:rsid w:val="00B3015D"/>
    <w:rsid w:val="00B633D5"/>
    <w:rsid w:val="00B82C18"/>
    <w:rsid w:val="00BB1769"/>
    <w:rsid w:val="00BC5DFF"/>
    <w:rsid w:val="00BD7444"/>
    <w:rsid w:val="00BE6AFF"/>
    <w:rsid w:val="00C02EA7"/>
    <w:rsid w:val="00C10876"/>
    <w:rsid w:val="00C21487"/>
    <w:rsid w:val="00C36B02"/>
    <w:rsid w:val="00C51F3A"/>
    <w:rsid w:val="00C5222E"/>
    <w:rsid w:val="00C6257E"/>
    <w:rsid w:val="00C63588"/>
    <w:rsid w:val="00C65453"/>
    <w:rsid w:val="00C80F35"/>
    <w:rsid w:val="00C83B35"/>
    <w:rsid w:val="00CA58C5"/>
    <w:rsid w:val="00CB2F62"/>
    <w:rsid w:val="00CB3BA7"/>
    <w:rsid w:val="00CE1D82"/>
    <w:rsid w:val="00CF3D93"/>
    <w:rsid w:val="00D04050"/>
    <w:rsid w:val="00D36AB7"/>
    <w:rsid w:val="00D3718D"/>
    <w:rsid w:val="00D374BF"/>
    <w:rsid w:val="00D5784F"/>
    <w:rsid w:val="00D612E2"/>
    <w:rsid w:val="00D64D3B"/>
    <w:rsid w:val="00D71365"/>
    <w:rsid w:val="00D723B7"/>
    <w:rsid w:val="00D7425A"/>
    <w:rsid w:val="00D77AC9"/>
    <w:rsid w:val="00D825FE"/>
    <w:rsid w:val="00DA0E19"/>
    <w:rsid w:val="00DC4591"/>
    <w:rsid w:val="00DD53ED"/>
    <w:rsid w:val="00DF1570"/>
    <w:rsid w:val="00E1085E"/>
    <w:rsid w:val="00E12135"/>
    <w:rsid w:val="00E20186"/>
    <w:rsid w:val="00E25F1A"/>
    <w:rsid w:val="00E2788B"/>
    <w:rsid w:val="00E63F56"/>
    <w:rsid w:val="00EB58BF"/>
    <w:rsid w:val="00EC6B26"/>
    <w:rsid w:val="00ED0E69"/>
    <w:rsid w:val="00F041FB"/>
    <w:rsid w:val="00F07D5A"/>
    <w:rsid w:val="00F142B8"/>
    <w:rsid w:val="00F14525"/>
    <w:rsid w:val="00F178ED"/>
    <w:rsid w:val="00F3766A"/>
    <w:rsid w:val="00F44BEB"/>
    <w:rsid w:val="00F50FFB"/>
    <w:rsid w:val="00F5250B"/>
    <w:rsid w:val="00F57142"/>
    <w:rsid w:val="00F61324"/>
    <w:rsid w:val="00F667F0"/>
    <w:rsid w:val="00F733CB"/>
    <w:rsid w:val="00FB782B"/>
    <w:rsid w:val="00FC0B77"/>
    <w:rsid w:val="00FC2E0F"/>
    <w:rsid w:val="00FD4F39"/>
    <w:rsid w:val="00FE1B72"/>
    <w:rsid w:val="00FF308A"/>
    <w:rsid w:val="00FF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6D9C0"/>
  <w14:defaultImageDpi w14:val="32767"/>
  <w15:chartTrackingRefBased/>
  <w15:docId w15:val="{C51DC722-C7F1-8F4B-BB11-14176C7DB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A03"/>
    <w:rPr>
      <w:rFonts w:ascii="Times New Roman" w:eastAsia="Times New Roman" w:hAnsi="Times New Roman" w:cs="Times New Roman"/>
      <w:lang w:val="en-CA"/>
    </w:rPr>
  </w:style>
  <w:style w:type="paragraph" w:styleId="Heading1">
    <w:name w:val="heading 1"/>
    <w:basedOn w:val="Normal"/>
    <w:next w:val="Normal"/>
    <w:link w:val="Heading1Char"/>
    <w:uiPriority w:val="9"/>
    <w:qFormat/>
    <w:rsid w:val="00C5222E"/>
    <w:pPr>
      <w:keepNext/>
      <w:keepLines/>
      <w:spacing w:before="24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rsid w:val="00C5222E"/>
    <w:pPr>
      <w:keepNext/>
      <w:keepLines/>
      <w:spacing w:before="40"/>
      <w:outlineLvl w:val="1"/>
    </w:pPr>
    <w:rPr>
      <w:rFonts w:asciiTheme="majorHAnsi" w:eastAsiaTheme="majorEastAsia" w:hAnsiTheme="majorHAnsi" w:cstheme="majorBidi"/>
      <w:color w:val="2F5496"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5453"/>
    <w:pPr>
      <w:ind w:left="720"/>
      <w:contextualSpacing/>
    </w:pPr>
    <w:rPr>
      <w:rFonts w:asciiTheme="minorHAnsi" w:eastAsiaTheme="minorHAnsi" w:hAnsiTheme="minorHAnsi" w:cstheme="minorBidi"/>
      <w:lang w:val="en-US"/>
    </w:rPr>
  </w:style>
  <w:style w:type="paragraph" w:styleId="FootnoteText">
    <w:name w:val="footnote text"/>
    <w:basedOn w:val="Normal"/>
    <w:link w:val="FootnoteTextChar"/>
    <w:uiPriority w:val="99"/>
    <w:semiHidden/>
    <w:unhideWhenUsed/>
    <w:rsid w:val="00D374BF"/>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D374BF"/>
    <w:rPr>
      <w:sz w:val="20"/>
      <w:szCs w:val="20"/>
    </w:rPr>
  </w:style>
  <w:style w:type="character" w:styleId="FootnoteReference">
    <w:name w:val="footnote reference"/>
    <w:basedOn w:val="DefaultParagraphFont"/>
    <w:uiPriority w:val="99"/>
    <w:semiHidden/>
    <w:unhideWhenUsed/>
    <w:rsid w:val="00D374BF"/>
    <w:rPr>
      <w:vertAlign w:val="superscript"/>
    </w:rPr>
  </w:style>
  <w:style w:type="paragraph" w:styleId="NormalWeb">
    <w:name w:val="Normal (Web)"/>
    <w:basedOn w:val="Normal"/>
    <w:uiPriority w:val="99"/>
    <w:semiHidden/>
    <w:unhideWhenUsed/>
    <w:rsid w:val="00233083"/>
    <w:pPr>
      <w:spacing w:before="100" w:beforeAutospacing="1" w:after="100" w:afterAutospacing="1"/>
    </w:pPr>
  </w:style>
  <w:style w:type="character" w:customStyle="1" w:styleId="Heading1Char">
    <w:name w:val="Heading 1 Char"/>
    <w:basedOn w:val="DefaultParagraphFont"/>
    <w:link w:val="Heading1"/>
    <w:uiPriority w:val="9"/>
    <w:rsid w:val="00C5222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5222E"/>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FC2E0F"/>
    <w:pPr>
      <w:spacing w:line="259" w:lineRule="auto"/>
      <w:outlineLvl w:val="9"/>
    </w:pPr>
  </w:style>
  <w:style w:type="paragraph" w:styleId="TOC1">
    <w:name w:val="toc 1"/>
    <w:basedOn w:val="Normal"/>
    <w:next w:val="Normal"/>
    <w:autoRedefine/>
    <w:uiPriority w:val="39"/>
    <w:unhideWhenUsed/>
    <w:rsid w:val="00FC2E0F"/>
    <w:pPr>
      <w:spacing w:before="120"/>
    </w:pPr>
    <w:rPr>
      <w:rFonts w:asciiTheme="minorHAnsi" w:hAnsiTheme="minorHAnsi"/>
      <w:b/>
      <w:bCs/>
      <w:i/>
      <w:iCs/>
    </w:rPr>
  </w:style>
  <w:style w:type="paragraph" w:styleId="TOC2">
    <w:name w:val="toc 2"/>
    <w:basedOn w:val="Normal"/>
    <w:next w:val="Normal"/>
    <w:autoRedefine/>
    <w:uiPriority w:val="39"/>
    <w:unhideWhenUsed/>
    <w:rsid w:val="00FC2E0F"/>
    <w:pPr>
      <w:spacing w:before="120"/>
      <w:ind w:left="240"/>
    </w:pPr>
    <w:rPr>
      <w:rFonts w:asciiTheme="minorHAnsi" w:hAnsiTheme="minorHAnsi"/>
      <w:b/>
      <w:bCs/>
      <w:sz w:val="22"/>
      <w:szCs w:val="22"/>
    </w:rPr>
  </w:style>
  <w:style w:type="character" w:styleId="Hyperlink">
    <w:name w:val="Hyperlink"/>
    <w:basedOn w:val="DefaultParagraphFont"/>
    <w:uiPriority w:val="99"/>
    <w:unhideWhenUsed/>
    <w:rsid w:val="00FC2E0F"/>
    <w:rPr>
      <w:color w:val="0563C1" w:themeColor="hyperlink"/>
      <w:u w:val="single"/>
    </w:rPr>
  </w:style>
  <w:style w:type="character" w:customStyle="1" w:styleId="apple-converted-space">
    <w:name w:val="apple-converted-space"/>
    <w:basedOn w:val="DefaultParagraphFont"/>
    <w:rsid w:val="000C5A03"/>
  </w:style>
  <w:style w:type="paragraph" w:styleId="TOC3">
    <w:name w:val="toc 3"/>
    <w:basedOn w:val="Normal"/>
    <w:next w:val="Normal"/>
    <w:autoRedefine/>
    <w:uiPriority w:val="39"/>
    <w:semiHidden/>
    <w:unhideWhenUsed/>
    <w:rsid w:val="00660364"/>
    <w:pPr>
      <w:ind w:left="480"/>
    </w:pPr>
    <w:rPr>
      <w:rFonts w:asciiTheme="minorHAnsi" w:hAnsiTheme="minorHAnsi"/>
      <w:sz w:val="20"/>
      <w:szCs w:val="20"/>
    </w:rPr>
  </w:style>
  <w:style w:type="paragraph" w:styleId="TOC4">
    <w:name w:val="toc 4"/>
    <w:basedOn w:val="Normal"/>
    <w:next w:val="Normal"/>
    <w:autoRedefine/>
    <w:uiPriority w:val="39"/>
    <w:semiHidden/>
    <w:unhideWhenUsed/>
    <w:rsid w:val="00660364"/>
    <w:pPr>
      <w:ind w:left="720"/>
    </w:pPr>
    <w:rPr>
      <w:rFonts w:asciiTheme="minorHAnsi" w:hAnsiTheme="minorHAnsi"/>
      <w:sz w:val="20"/>
      <w:szCs w:val="20"/>
    </w:rPr>
  </w:style>
  <w:style w:type="paragraph" w:styleId="TOC5">
    <w:name w:val="toc 5"/>
    <w:basedOn w:val="Normal"/>
    <w:next w:val="Normal"/>
    <w:autoRedefine/>
    <w:uiPriority w:val="39"/>
    <w:semiHidden/>
    <w:unhideWhenUsed/>
    <w:rsid w:val="00660364"/>
    <w:pPr>
      <w:ind w:left="960"/>
    </w:pPr>
    <w:rPr>
      <w:rFonts w:asciiTheme="minorHAnsi" w:hAnsiTheme="minorHAnsi"/>
      <w:sz w:val="20"/>
      <w:szCs w:val="20"/>
    </w:rPr>
  </w:style>
  <w:style w:type="paragraph" w:styleId="TOC6">
    <w:name w:val="toc 6"/>
    <w:basedOn w:val="Normal"/>
    <w:next w:val="Normal"/>
    <w:autoRedefine/>
    <w:uiPriority w:val="39"/>
    <w:semiHidden/>
    <w:unhideWhenUsed/>
    <w:rsid w:val="00660364"/>
    <w:pPr>
      <w:ind w:left="1200"/>
    </w:pPr>
    <w:rPr>
      <w:rFonts w:asciiTheme="minorHAnsi" w:hAnsiTheme="minorHAnsi"/>
      <w:sz w:val="20"/>
      <w:szCs w:val="20"/>
    </w:rPr>
  </w:style>
  <w:style w:type="paragraph" w:styleId="TOC7">
    <w:name w:val="toc 7"/>
    <w:basedOn w:val="Normal"/>
    <w:next w:val="Normal"/>
    <w:autoRedefine/>
    <w:uiPriority w:val="39"/>
    <w:semiHidden/>
    <w:unhideWhenUsed/>
    <w:rsid w:val="00660364"/>
    <w:pPr>
      <w:ind w:left="1440"/>
    </w:pPr>
    <w:rPr>
      <w:rFonts w:asciiTheme="minorHAnsi" w:hAnsiTheme="minorHAnsi"/>
      <w:sz w:val="20"/>
      <w:szCs w:val="20"/>
    </w:rPr>
  </w:style>
  <w:style w:type="paragraph" w:styleId="TOC8">
    <w:name w:val="toc 8"/>
    <w:basedOn w:val="Normal"/>
    <w:next w:val="Normal"/>
    <w:autoRedefine/>
    <w:uiPriority w:val="39"/>
    <w:semiHidden/>
    <w:unhideWhenUsed/>
    <w:rsid w:val="00660364"/>
    <w:pPr>
      <w:ind w:left="1680"/>
    </w:pPr>
    <w:rPr>
      <w:rFonts w:asciiTheme="minorHAnsi" w:hAnsiTheme="minorHAnsi"/>
      <w:sz w:val="20"/>
      <w:szCs w:val="20"/>
    </w:rPr>
  </w:style>
  <w:style w:type="paragraph" w:styleId="TOC9">
    <w:name w:val="toc 9"/>
    <w:basedOn w:val="Normal"/>
    <w:next w:val="Normal"/>
    <w:autoRedefine/>
    <w:uiPriority w:val="39"/>
    <w:semiHidden/>
    <w:unhideWhenUsed/>
    <w:rsid w:val="00660364"/>
    <w:pPr>
      <w:ind w:left="192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92318">
      <w:bodyDiv w:val="1"/>
      <w:marLeft w:val="0"/>
      <w:marRight w:val="0"/>
      <w:marTop w:val="0"/>
      <w:marBottom w:val="0"/>
      <w:divBdr>
        <w:top w:val="none" w:sz="0" w:space="0" w:color="auto"/>
        <w:left w:val="none" w:sz="0" w:space="0" w:color="auto"/>
        <w:bottom w:val="none" w:sz="0" w:space="0" w:color="auto"/>
        <w:right w:val="none" w:sz="0" w:space="0" w:color="auto"/>
      </w:divBdr>
      <w:divsChild>
        <w:div w:id="1093362278">
          <w:marLeft w:val="0"/>
          <w:marRight w:val="0"/>
          <w:marTop w:val="0"/>
          <w:marBottom w:val="0"/>
          <w:divBdr>
            <w:top w:val="none" w:sz="0" w:space="0" w:color="auto"/>
            <w:left w:val="none" w:sz="0" w:space="0" w:color="auto"/>
            <w:bottom w:val="none" w:sz="0" w:space="0" w:color="auto"/>
            <w:right w:val="none" w:sz="0" w:space="0" w:color="auto"/>
          </w:divBdr>
          <w:divsChild>
            <w:div w:id="944456453">
              <w:marLeft w:val="0"/>
              <w:marRight w:val="0"/>
              <w:marTop w:val="0"/>
              <w:marBottom w:val="0"/>
              <w:divBdr>
                <w:top w:val="none" w:sz="0" w:space="0" w:color="auto"/>
                <w:left w:val="none" w:sz="0" w:space="0" w:color="auto"/>
                <w:bottom w:val="none" w:sz="0" w:space="0" w:color="auto"/>
                <w:right w:val="none" w:sz="0" w:space="0" w:color="auto"/>
              </w:divBdr>
              <w:divsChild>
                <w:div w:id="48767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286451">
      <w:bodyDiv w:val="1"/>
      <w:marLeft w:val="0"/>
      <w:marRight w:val="0"/>
      <w:marTop w:val="0"/>
      <w:marBottom w:val="0"/>
      <w:divBdr>
        <w:top w:val="none" w:sz="0" w:space="0" w:color="auto"/>
        <w:left w:val="none" w:sz="0" w:space="0" w:color="auto"/>
        <w:bottom w:val="none" w:sz="0" w:space="0" w:color="auto"/>
        <w:right w:val="none" w:sz="0" w:space="0" w:color="auto"/>
      </w:divBdr>
      <w:divsChild>
        <w:div w:id="821771582">
          <w:marLeft w:val="0"/>
          <w:marRight w:val="0"/>
          <w:marTop w:val="0"/>
          <w:marBottom w:val="0"/>
          <w:divBdr>
            <w:top w:val="none" w:sz="0" w:space="0" w:color="auto"/>
            <w:left w:val="none" w:sz="0" w:space="0" w:color="auto"/>
            <w:bottom w:val="none" w:sz="0" w:space="0" w:color="auto"/>
            <w:right w:val="none" w:sz="0" w:space="0" w:color="auto"/>
          </w:divBdr>
          <w:divsChild>
            <w:div w:id="1335113633">
              <w:marLeft w:val="0"/>
              <w:marRight w:val="0"/>
              <w:marTop w:val="0"/>
              <w:marBottom w:val="0"/>
              <w:divBdr>
                <w:top w:val="none" w:sz="0" w:space="0" w:color="auto"/>
                <w:left w:val="none" w:sz="0" w:space="0" w:color="auto"/>
                <w:bottom w:val="none" w:sz="0" w:space="0" w:color="auto"/>
                <w:right w:val="none" w:sz="0" w:space="0" w:color="auto"/>
              </w:divBdr>
              <w:divsChild>
                <w:div w:id="973216428">
                  <w:marLeft w:val="0"/>
                  <w:marRight w:val="0"/>
                  <w:marTop w:val="0"/>
                  <w:marBottom w:val="0"/>
                  <w:divBdr>
                    <w:top w:val="none" w:sz="0" w:space="0" w:color="auto"/>
                    <w:left w:val="none" w:sz="0" w:space="0" w:color="auto"/>
                    <w:bottom w:val="none" w:sz="0" w:space="0" w:color="auto"/>
                    <w:right w:val="none" w:sz="0" w:space="0" w:color="auto"/>
                  </w:divBdr>
                  <w:divsChild>
                    <w:div w:id="96084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360335">
      <w:bodyDiv w:val="1"/>
      <w:marLeft w:val="0"/>
      <w:marRight w:val="0"/>
      <w:marTop w:val="0"/>
      <w:marBottom w:val="0"/>
      <w:divBdr>
        <w:top w:val="none" w:sz="0" w:space="0" w:color="auto"/>
        <w:left w:val="none" w:sz="0" w:space="0" w:color="auto"/>
        <w:bottom w:val="none" w:sz="0" w:space="0" w:color="auto"/>
        <w:right w:val="none" w:sz="0" w:space="0" w:color="auto"/>
      </w:divBdr>
    </w:div>
    <w:div w:id="1068335033">
      <w:bodyDiv w:val="1"/>
      <w:marLeft w:val="0"/>
      <w:marRight w:val="0"/>
      <w:marTop w:val="0"/>
      <w:marBottom w:val="0"/>
      <w:divBdr>
        <w:top w:val="none" w:sz="0" w:space="0" w:color="auto"/>
        <w:left w:val="none" w:sz="0" w:space="0" w:color="auto"/>
        <w:bottom w:val="none" w:sz="0" w:space="0" w:color="auto"/>
        <w:right w:val="none" w:sz="0" w:space="0" w:color="auto"/>
      </w:divBdr>
      <w:divsChild>
        <w:div w:id="440882704">
          <w:marLeft w:val="0"/>
          <w:marRight w:val="0"/>
          <w:marTop w:val="0"/>
          <w:marBottom w:val="0"/>
          <w:divBdr>
            <w:top w:val="none" w:sz="0" w:space="0" w:color="auto"/>
            <w:left w:val="none" w:sz="0" w:space="0" w:color="auto"/>
            <w:bottom w:val="none" w:sz="0" w:space="0" w:color="auto"/>
            <w:right w:val="none" w:sz="0" w:space="0" w:color="auto"/>
          </w:divBdr>
          <w:divsChild>
            <w:div w:id="629093343">
              <w:marLeft w:val="0"/>
              <w:marRight w:val="0"/>
              <w:marTop w:val="0"/>
              <w:marBottom w:val="0"/>
              <w:divBdr>
                <w:top w:val="none" w:sz="0" w:space="0" w:color="auto"/>
                <w:left w:val="none" w:sz="0" w:space="0" w:color="auto"/>
                <w:bottom w:val="none" w:sz="0" w:space="0" w:color="auto"/>
                <w:right w:val="none" w:sz="0" w:space="0" w:color="auto"/>
              </w:divBdr>
              <w:divsChild>
                <w:div w:id="404693235">
                  <w:marLeft w:val="0"/>
                  <w:marRight w:val="0"/>
                  <w:marTop w:val="0"/>
                  <w:marBottom w:val="0"/>
                  <w:divBdr>
                    <w:top w:val="none" w:sz="0" w:space="0" w:color="auto"/>
                    <w:left w:val="none" w:sz="0" w:space="0" w:color="auto"/>
                    <w:bottom w:val="none" w:sz="0" w:space="0" w:color="auto"/>
                    <w:right w:val="none" w:sz="0" w:space="0" w:color="auto"/>
                  </w:divBdr>
                  <w:divsChild>
                    <w:div w:id="1475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363046">
      <w:bodyDiv w:val="1"/>
      <w:marLeft w:val="0"/>
      <w:marRight w:val="0"/>
      <w:marTop w:val="0"/>
      <w:marBottom w:val="0"/>
      <w:divBdr>
        <w:top w:val="none" w:sz="0" w:space="0" w:color="auto"/>
        <w:left w:val="none" w:sz="0" w:space="0" w:color="auto"/>
        <w:bottom w:val="none" w:sz="0" w:space="0" w:color="auto"/>
        <w:right w:val="none" w:sz="0" w:space="0" w:color="auto"/>
      </w:divBdr>
    </w:div>
    <w:div w:id="1221820006">
      <w:bodyDiv w:val="1"/>
      <w:marLeft w:val="0"/>
      <w:marRight w:val="0"/>
      <w:marTop w:val="0"/>
      <w:marBottom w:val="0"/>
      <w:divBdr>
        <w:top w:val="none" w:sz="0" w:space="0" w:color="auto"/>
        <w:left w:val="none" w:sz="0" w:space="0" w:color="auto"/>
        <w:bottom w:val="none" w:sz="0" w:space="0" w:color="auto"/>
        <w:right w:val="none" w:sz="0" w:space="0" w:color="auto"/>
      </w:divBdr>
    </w:div>
    <w:div w:id="1399667475">
      <w:bodyDiv w:val="1"/>
      <w:marLeft w:val="0"/>
      <w:marRight w:val="0"/>
      <w:marTop w:val="0"/>
      <w:marBottom w:val="0"/>
      <w:divBdr>
        <w:top w:val="none" w:sz="0" w:space="0" w:color="auto"/>
        <w:left w:val="none" w:sz="0" w:space="0" w:color="auto"/>
        <w:bottom w:val="none" w:sz="0" w:space="0" w:color="auto"/>
        <w:right w:val="none" w:sz="0" w:space="0" w:color="auto"/>
      </w:divBdr>
      <w:divsChild>
        <w:div w:id="2027948633">
          <w:marLeft w:val="0"/>
          <w:marRight w:val="0"/>
          <w:marTop w:val="0"/>
          <w:marBottom w:val="0"/>
          <w:divBdr>
            <w:top w:val="none" w:sz="0" w:space="0" w:color="auto"/>
            <w:left w:val="none" w:sz="0" w:space="0" w:color="auto"/>
            <w:bottom w:val="none" w:sz="0" w:space="0" w:color="auto"/>
            <w:right w:val="none" w:sz="0" w:space="0" w:color="auto"/>
          </w:divBdr>
          <w:divsChild>
            <w:div w:id="7027789">
              <w:marLeft w:val="0"/>
              <w:marRight w:val="0"/>
              <w:marTop w:val="0"/>
              <w:marBottom w:val="0"/>
              <w:divBdr>
                <w:top w:val="none" w:sz="0" w:space="0" w:color="auto"/>
                <w:left w:val="none" w:sz="0" w:space="0" w:color="auto"/>
                <w:bottom w:val="none" w:sz="0" w:space="0" w:color="auto"/>
                <w:right w:val="none" w:sz="0" w:space="0" w:color="auto"/>
              </w:divBdr>
              <w:divsChild>
                <w:div w:id="51118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2375">
          <w:marLeft w:val="0"/>
          <w:marRight w:val="0"/>
          <w:marTop w:val="0"/>
          <w:marBottom w:val="0"/>
          <w:divBdr>
            <w:top w:val="none" w:sz="0" w:space="0" w:color="auto"/>
            <w:left w:val="none" w:sz="0" w:space="0" w:color="auto"/>
            <w:bottom w:val="none" w:sz="0" w:space="0" w:color="auto"/>
            <w:right w:val="none" w:sz="0" w:space="0" w:color="auto"/>
          </w:divBdr>
          <w:divsChild>
            <w:div w:id="1724982757">
              <w:marLeft w:val="0"/>
              <w:marRight w:val="0"/>
              <w:marTop w:val="0"/>
              <w:marBottom w:val="0"/>
              <w:divBdr>
                <w:top w:val="none" w:sz="0" w:space="0" w:color="auto"/>
                <w:left w:val="none" w:sz="0" w:space="0" w:color="auto"/>
                <w:bottom w:val="none" w:sz="0" w:space="0" w:color="auto"/>
                <w:right w:val="none" w:sz="0" w:space="0" w:color="auto"/>
              </w:divBdr>
              <w:divsChild>
                <w:div w:id="207762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92657">
      <w:bodyDiv w:val="1"/>
      <w:marLeft w:val="0"/>
      <w:marRight w:val="0"/>
      <w:marTop w:val="0"/>
      <w:marBottom w:val="0"/>
      <w:divBdr>
        <w:top w:val="none" w:sz="0" w:space="0" w:color="auto"/>
        <w:left w:val="none" w:sz="0" w:space="0" w:color="auto"/>
        <w:bottom w:val="none" w:sz="0" w:space="0" w:color="auto"/>
        <w:right w:val="none" w:sz="0" w:space="0" w:color="auto"/>
      </w:divBdr>
    </w:div>
    <w:div w:id="1952663164">
      <w:bodyDiv w:val="1"/>
      <w:marLeft w:val="0"/>
      <w:marRight w:val="0"/>
      <w:marTop w:val="0"/>
      <w:marBottom w:val="0"/>
      <w:divBdr>
        <w:top w:val="none" w:sz="0" w:space="0" w:color="auto"/>
        <w:left w:val="none" w:sz="0" w:space="0" w:color="auto"/>
        <w:bottom w:val="none" w:sz="0" w:space="0" w:color="auto"/>
        <w:right w:val="none" w:sz="0" w:space="0" w:color="auto"/>
      </w:divBdr>
      <w:divsChild>
        <w:div w:id="2107074674">
          <w:marLeft w:val="0"/>
          <w:marRight w:val="0"/>
          <w:marTop w:val="0"/>
          <w:marBottom w:val="0"/>
          <w:divBdr>
            <w:top w:val="none" w:sz="0" w:space="0" w:color="auto"/>
            <w:left w:val="none" w:sz="0" w:space="0" w:color="auto"/>
            <w:bottom w:val="none" w:sz="0" w:space="0" w:color="auto"/>
            <w:right w:val="none" w:sz="0" w:space="0" w:color="auto"/>
          </w:divBdr>
          <w:divsChild>
            <w:div w:id="238373806">
              <w:marLeft w:val="0"/>
              <w:marRight w:val="0"/>
              <w:marTop w:val="0"/>
              <w:marBottom w:val="0"/>
              <w:divBdr>
                <w:top w:val="none" w:sz="0" w:space="0" w:color="auto"/>
                <w:left w:val="none" w:sz="0" w:space="0" w:color="auto"/>
                <w:bottom w:val="none" w:sz="0" w:space="0" w:color="auto"/>
                <w:right w:val="none" w:sz="0" w:space="0" w:color="auto"/>
              </w:divBdr>
              <w:divsChild>
                <w:div w:id="29576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39016">
          <w:marLeft w:val="0"/>
          <w:marRight w:val="0"/>
          <w:marTop w:val="0"/>
          <w:marBottom w:val="0"/>
          <w:divBdr>
            <w:top w:val="none" w:sz="0" w:space="0" w:color="auto"/>
            <w:left w:val="none" w:sz="0" w:space="0" w:color="auto"/>
            <w:bottom w:val="none" w:sz="0" w:space="0" w:color="auto"/>
            <w:right w:val="none" w:sz="0" w:space="0" w:color="auto"/>
          </w:divBdr>
          <w:divsChild>
            <w:div w:id="136263369">
              <w:marLeft w:val="0"/>
              <w:marRight w:val="0"/>
              <w:marTop w:val="0"/>
              <w:marBottom w:val="0"/>
              <w:divBdr>
                <w:top w:val="none" w:sz="0" w:space="0" w:color="auto"/>
                <w:left w:val="none" w:sz="0" w:space="0" w:color="auto"/>
                <w:bottom w:val="none" w:sz="0" w:space="0" w:color="auto"/>
                <w:right w:val="none" w:sz="0" w:space="0" w:color="auto"/>
              </w:divBdr>
              <w:divsChild>
                <w:div w:id="30076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83318">
      <w:bodyDiv w:val="1"/>
      <w:marLeft w:val="0"/>
      <w:marRight w:val="0"/>
      <w:marTop w:val="0"/>
      <w:marBottom w:val="0"/>
      <w:divBdr>
        <w:top w:val="none" w:sz="0" w:space="0" w:color="auto"/>
        <w:left w:val="none" w:sz="0" w:space="0" w:color="auto"/>
        <w:bottom w:val="none" w:sz="0" w:space="0" w:color="auto"/>
        <w:right w:val="none" w:sz="0" w:space="0" w:color="auto"/>
      </w:divBdr>
      <w:divsChild>
        <w:div w:id="1141457587">
          <w:marLeft w:val="0"/>
          <w:marRight w:val="0"/>
          <w:marTop w:val="0"/>
          <w:marBottom w:val="0"/>
          <w:divBdr>
            <w:top w:val="none" w:sz="0" w:space="0" w:color="auto"/>
            <w:left w:val="none" w:sz="0" w:space="0" w:color="auto"/>
            <w:bottom w:val="none" w:sz="0" w:space="0" w:color="auto"/>
            <w:right w:val="none" w:sz="0" w:space="0" w:color="auto"/>
          </w:divBdr>
          <w:divsChild>
            <w:div w:id="1333096157">
              <w:marLeft w:val="0"/>
              <w:marRight w:val="0"/>
              <w:marTop w:val="0"/>
              <w:marBottom w:val="0"/>
              <w:divBdr>
                <w:top w:val="none" w:sz="0" w:space="0" w:color="auto"/>
                <w:left w:val="none" w:sz="0" w:space="0" w:color="auto"/>
                <w:bottom w:val="none" w:sz="0" w:space="0" w:color="auto"/>
                <w:right w:val="none" w:sz="0" w:space="0" w:color="auto"/>
              </w:divBdr>
              <w:divsChild>
                <w:div w:id="99831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361665">
      <w:bodyDiv w:val="1"/>
      <w:marLeft w:val="0"/>
      <w:marRight w:val="0"/>
      <w:marTop w:val="0"/>
      <w:marBottom w:val="0"/>
      <w:divBdr>
        <w:top w:val="none" w:sz="0" w:space="0" w:color="auto"/>
        <w:left w:val="none" w:sz="0" w:space="0" w:color="auto"/>
        <w:bottom w:val="none" w:sz="0" w:space="0" w:color="auto"/>
        <w:right w:val="none" w:sz="0" w:space="0" w:color="auto"/>
      </w:divBdr>
      <w:divsChild>
        <w:div w:id="1524587536">
          <w:marLeft w:val="0"/>
          <w:marRight w:val="0"/>
          <w:marTop w:val="0"/>
          <w:marBottom w:val="0"/>
          <w:divBdr>
            <w:top w:val="none" w:sz="0" w:space="0" w:color="auto"/>
            <w:left w:val="none" w:sz="0" w:space="0" w:color="auto"/>
            <w:bottom w:val="none" w:sz="0" w:space="0" w:color="auto"/>
            <w:right w:val="none" w:sz="0" w:space="0" w:color="auto"/>
          </w:divBdr>
          <w:divsChild>
            <w:div w:id="1764839308">
              <w:marLeft w:val="0"/>
              <w:marRight w:val="0"/>
              <w:marTop w:val="0"/>
              <w:marBottom w:val="0"/>
              <w:divBdr>
                <w:top w:val="none" w:sz="0" w:space="0" w:color="auto"/>
                <w:left w:val="none" w:sz="0" w:space="0" w:color="auto"/>
                <w:bottom w:val="none" w:sz="0" w:space="0" w:color="auto"/>
                <w:right w:val="none" w:sz="0" w:space="0" w:color="auto"/>
              </w:divBdr>
              <w:divsChild>
                <w:div w:id="995961543">
                  <w:marLeft w:val="0"/>
                  <w:marRight w:val="0"/>
                  <w:marTop w:val="0"/>
                  <w:marBottom w:val="0"/>
                  <w:divBdr>
                    <w:top w:val="none" w:sz="0" w:space="0" w:color="auto"/>
                    <w:left w:val="none" w:sz="0" w:space="0" w:color="auto"/>
                    <w:bottom w:val="none" w:sz="0" w:space="0" w:color="auto"/>
                    <w:right w:val="none" w:sz="0" w:space="0" w:color="auto"/>
                  </w:divBdr>
                  <w:divsChild>
                    <w:div w:id="1337733355">
                      <w:marLeft w:val="0"/>
                      <w:marRight w:val="0"/>
                      <w:marTop w:val="0"/>
                      <w:marBottom w:val="0"/>
                      <w:divBdr>
                        <w:top w:val="none" w:sz="0" w:space="0" w:color="auto"/>
                        <w:left w:val="none" w:sz="0" w:space="0" w:color="auto"/>
                        <w:bottom w:val="none" w:sz="0" w:space="0" w:color="auto"/>
                        <w:right w:val="none" w:sz="0" w:space="0" w:color="auto"/>
                      </w:divBdr>
                      <w:divsChild>
                        <w:div w:id="1612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585358">
                  <w:marLeft w:val="0"/>
                  <w:marRight w:val="0"/>
                  <w:marTop w:val="0"/>
                  <w:marBottom w:val="0"/>
                  <w:divBdr>
                    <w:top w:val="none" w:sz="0" w:space="0" w:color="auto"/>
                    <w:left w:val="none" w:sz="0" w:space="0" w:color="auto"/>
                    <w:bottom w:val="none" w:sz="0" w:space="0" w:color="auto"/>
                    <w:right w:val="none" w:sz="0" w:space="0" w:color="auto"/>
                  </w:divBdr>
                  <w:divsChild>
                    <w:div w:id="973146045">
                      <w:marLeft w:val="0"/>
                      <w:marRight w:val="0"/>
                      <w:marTop w:val="0"/>
                      <w:marBottom w:val="0"/>
                      <w:divBdr>
                        <w:top w:val="none" w:sz="0" w:space="0" w:color="auto"/>
                        <w:left w:val="none" w:sz="0" w:space="0" w:color="auto"/>
                        <w:bottom w:val="none" w:sz="0" w:space="0" w:color="auto"/>
                        <w:right w:val="none" w:sz="0" w:space="0" w:color="auto"/>
                      </w:divBdr>
                      <w:divsChild>
                        <w:div w:id="41428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10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872C3-606A-9748-B778-0BA08451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21</Pages>
  <Words>5323</Words>
  <Characters>30344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44</cp:revision>
  <dcterms:created xsi:type="dcterms:W3CDTF">2020-02-06T04:17:00Z</dcterms:created>
  <dcterms:modified xsi:type="dcterms:W3CDTF">2020-06-03T12:49:00Z</dcterms:modified>
</cp:coreProperties>
</file>