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F08C2" w14:textId="1D87FF5B" w:rsidR="00072527" w:rsidRPr="00AD5B54" w:rsidRDefault="005A3B90" w:rsidP="00AD5B54">
      <w:pPr>
        <w:rPr>
          <w:b/>
          <w:lang w:val="de-DE"/>
        </w:rPr>
      </w:pPr>
      <w:bookmarkStart w:id="0" w:name="_GoBack"/>
      <w:bookmarkEnd w:id="0"/>
      <w:r>
        <w:rPr>
          <w:b/>
          <w:lang w:val="de-DE"/>
        </w:rPr>
        <w:t>Nachwort</w:t>
      </w:r>
    </w:p>
    <w:p w14:paraId="5D309757" w14:textId="408BD391" w:rsidR="002C6968" w:rsidRDefault="002C6968" w:rsidP="00CC2D5F">
      <w:pPr>
        <w:rPr>
          <w:b/>
          <w:lang w:val="de-DE"/>
        </w:rPr>
      </w:pPr>
    </w:p>
    <w:p w14:paraId="34D16B53" w14:textId="77777777" w:rsidR="00CF6C64" w:rsidRDefault="00CF6C64" w:rsidP="00CC2D5F">
      <w:pPr>
        <w:rPr>
          <w:b/>
          <w:lang w:val="de-DE"/>
        </w:rPr>
      </w:pPr>
    </w:p>
    <w:p w14:paraId="0F351806" w14:textId="65F95BE5" w:rsidR="00E13C98" w:rsidRDefault="00DF0288" w:rsidP="00E13C98">
      <w:pPr>
        <w:jc w:val="right"/>
        <w:rPr>
          <w:lang w:val="de-DE"/>
        </w:rPr>
      </w:pPr>
      <w:r>
        <w:rPr>
          <w:lang w:val="de-DE"/>
        </w:rPr>
        <w:t>„</w:t>
      </w:r>
      <w:r w:rsidR="0059082D">
        <w:rPr>
          <w:lang w:val="de-DE"/>
        </w:rPr>
        <w:t>‘</w:t>
      </w:r>
      <w:r>
        <w:rPr>
          <w:lang w:val="de-DE"/>
        </w:rPr>
        <w:t xml:space="preserve">Lieber irgend </w:t>
      </w:r>
      <w:r w:rsidR="0059082D">
        <w:rPr>
          <w:lang w:val="de-DE"/>
        </w:rPr>
        <w:t>E</w:t>
      </w:r>
      <w:r>
        <w:rPr>
          <w:lang w:val="de-DE"/>
        </w:rPr>
        <w:t>twas t</w:t>
      </w:r>
      <w:r w:rsidR="0059082D">
        <w:rPr>
          <w:lang w:val="de-DE"/>
        </w:rPr>
        <w:t>h</w:t>
      </w:r>
      <w:r>
        <w:rPr>
          <w:lang w:val="de-DE"/>
        </w:rPr>
        <w:t>un</w:t>
      </w:r>
      <w:r w:rsidR="0059082D">
        <w:rPr>
          <w:lang w:val="de-DE"/>
        </w:rPr>
        <w:t xml:space="preserve">, </w:t>
      </w:r>
      <w:r>
        <w:rPr>
          <w:lang w:val="de-DE"/>
        </w:rPr>
        <w:t xml:space="preserve">als </w:t>
      </w:r>
      <w:r w:rsidR="0059082D">
        <w:rPr>
          <w:lang w:val="de-DE"/>
        </w:rPr>
        <w:t>N</w:t>
      </w:r>
      <w:r>
        <w:rPr>
          <w:lang w:val="de-DE"/>
        </w:rPr>
        <w:t>ichts</w:t>
      </w:r>
      <w:r w:rsidR="0059082D">
        <w:rPr>
          <w:lang w:val="de-DE"/>
        </w:rPr>
        <w:t>‘</w:t>
      </w:r>
      <w:r>
        <w:rPr>
          <w:lang w:val="de-DE"/>
        </w:rPr>
        <w:t xml:space="preserve"> […] Die </w:t>
      </w:r>
      <w:r w:rsidRPr="0059082D">
        <w:rPr>
          <w:i/>
          <w:lang w:val="de-DE"/>
        </w:rPr>
        <w:t>Arbeit</w:t>
      </w:r>
      <w:r>
        <w:rPr>
          <w:lang w:val="de-DE"/>
        </w:rPr>
        <w:t xml:space="preserve"> bekommt immer mehr alles gute Gewissen auf ihre Seite: der Hang zur Freude nennt sich bereits </w:t>
      </w:r>
      <w:r w:rsidR="0059082D">
        <w:rPr>
          <w:lang w:val="de-DE"/>
        </w:rPr>
        <w:t>‚</w:t>
      </w:r>
      <w:r>
        <w:rPr>
          <w:lang w:val="de-DE"/>
        </w:rPr>
        <w:t>Bedürfnis der Erholung</w:t>
      </w:r>
      <w:r w:rsidR="0059082D">
        <w:rPr>
          <w:lang w:val="de-DE"/>
        </w:rPr>
        <w:t>‘</w:t>
      </w:r>
      <w:r>
        <w:rPr>
          <w:lang w:val="de-DE"/>
        </w:rPr>
        <w:t xml:space="preserve"> und fängt an, </w:t>
      </w:r>
    </w:p>
    <w:p w14:paraId="4F4026AF" w14:textId="07CE44E1" w:rsidR="00DF0288" w:rsidRDefault="00DF0288" w:rsidP="00E13C98">
      <w:pPr>
        <w:jc w:val="right"/>
        <w:rPr>
          <w:lang w:val="de-DE"/>
        </w:rPr>
      </w:pPr>
      <w:r>
        <w:rPr>
          <w:lang w:val="de-DE"/>
        </w:rPr>
        <w:t>sich vor sich selber zu schämen.“</w:t>
      </w:r>
      <w:r>
        <w:rPr>
          <w:rStyle w:val="FootnoteReference"/>
          <w:lang w:val="de-DE"/>
        </w:rPr>
        <w:footnoteReference w:id="1"/>
      </w:r>
    </w:p>
    <w:p w14:paraId="30B19BA8" w14:textId="0F2558C8" w:rsidR="00297723" w:rsidRDefault="00297723" w:rsidP="00CC2D5F">
      <w:pPr>
        <w:rPr>
          <w:b/>
          <w:lang w:val="de-DE"/>
        </w:rPr>
      </w:pPr>
    </w:p>
    <w:p w14:paraId="6A77A38A" w14:textId="77777777" w:rsidR="00E13C98" w:rsidRDefault="00297723" w:rsidP="00E13C98">
      <w:pPr>
        <w:jc w:val="right"/>
        <w:rPr>
          <w:lang w:val="de-DE"/>
        </w:rPr>
      </w:pPr>
      <w:r>
        <w:rPr>
          <w:lang w:val="de-DE"/>
        </w:rPr>
        <w:t xml:space="preserve">„Und mein ganzes Land ist durchsetzt von derartigen Unermüdlichen, Putzmunteren, </w:t>
      </w:r>
    </w:p>
    <w:p w14:paraId="6CC38543" w14:textId="2A67C830" w:rsidR="00297723" w:rsidRDefault="00297723" w:rsidP="00E13C98">
      <w:pPr>
        <w:jc w:val="right"/>
        <w:rPr>
          <w:lang w:val="de-DE"/>
        </w:rPr>
      </w:pPr>
      <w:r>
        <w:rPr>
          <w:lang w:val="de-DE"/>
        </w:rPr>
        <w:t>bis hin zu den sogenannten Führungskräften“</w:t>
      </w:r>
      <w:r w:rsidR="00E13C98">
        <w:rPr>
          <w:lang w:val="de-DE"/>
        </w:rPr>
        <w:t>.</w:t>
      </w:r>
      <w:r w:rsidR="00E13C98">
        <w:rPr>
          <w:rStyle w:val="FootnoteReference"/>
          <w:lang w:val="de-DE"/>
        </w:rPr>
        <w:footnoteReference w:id="2"/>
      </w:r>
      <w:r>
        <w:rPr>
          <w:lang w:val="de-DE"/>
        </w:rPr>
        <w:t xml:space="preserve"> </w:t>
      </w:r>
    </w:p>
    <w:p w14:paraId="26CB9FF0" w14:textId="77777777" w:rsidR="00297723" w:rsidRDefault="00297723" w:rsidP="00CC2D5F">
      <w:pPr>
        <w:rPr>
          <w:b/>
          <w:lang w:val="de-DE"/>
        </w:rPr>
      </w:pPr>
    </w:p>
    <w:p w14:paraId="3638BDE9" w14:textId="77777777" w:rsidR="00DF0288" w:rsidRPr="002C6968" w:rsidRDefault="00DF0288" w:rsidP="008241D1">
      <w:pPr>
        <w:spacing w:line="360" w:lineRule="auto"/>
        <w:rPr>
          <w:b/>
          <w:lang w:val="de-DE"/>
        </w:rPr>
      </w:pPr>
    </w:p>
    <w:p w14:paraId="356D5C2D" w14:textId="07816A44" w:rsidR="007D4A60" w:rsidRPr="00042148" w:rsidRDefault="007D4A60" w:rsidP="008241D1">
      <w:pPr>
        <w:spacing w:line="360" w:lineRule="auto"/>
        <w:rPr>
          <w:lang w:val="de-DE"/>
        </w:rPr>
      </w:pPr>
      <w:r w:rsidRPr="00042148">
        <w:rPr>
          <w:lang w:val="de-DE"/>
        </w:rPr>
        <w:t>I.</w:t>
      </w:r>
    </w:p>
    <w:p w14:paraId="3F76060F" w14:textId="02799EF2" w:rsidR="007D4A60" w:rsidRDefault="007D4A60" w:rsidP="008241D1">
      <w:pPr>
        <w:spacing w:line="360" w:lineRule="auto"/>
        <w:rPr>
          <w:lang w:val="de-DE"/>
        </w:rPr>
      </w:pPr>
      <w:r>
        <w:rPr>
          <w:lang w:val="de-DE"/>
        </w:rPr>
        <w:t>Dass Zola und Tolstoi nicht nur Romane geschrieben haben, dürfte bekannt sein. Beide haben sich immer wieder veranlasst gesehen, zu aktuellen Themen Stellung zu beziehen, und waren bemüht, Einfluss auf die öffentliche Meinung zu nehmen. Für Zola ist stellvertretend sein Engagement in der Dreyfus-Affäre zu nennen, Tolstoi schrieb unermüdlich Traktate, Hefte, Flugschriften und Artikel</w:t>
      </w:r>
      <w:r>
        <w:rPr>
          <w:rStyle w:val="FootnoteReference"/>
          <w:lang w:val="de-DE"/>
        </w:rPr>
        <w:footnoteReference w:id="3"/>
      </w:r>
      <w:r>
        <w:rPr>
          <w:lang w:val="de-DE"/>
        </w:rPr>
        <w:t xml:space="preserve"> und korrespondierte mit der ganzen Welt – in einem Brief an den Zaren Alexander III. bat er ihn eindringlich, die Attentäter seines Vaters Alexander II. zu begnadigen.</w:t>
      </w:r>
      <w:r>
        <w:rPr>
          <w:rStyle w:val="FootnoteReference"/>
          <w:lang w:val="de-DE"/>
        </w:rPr>
        <w:footnoteReference w:id="4"/>
      </w:r>
      <w:r>
        <w:rPr>
          <w:lang w:val="de-DE"/>
        </w:rPr>
        <w:t xml:space="preserve"> Beide waren nicht nur Romanschriftsteller, sondern Intellektuelle und politische Aktivisten.  </w:t>
      </w:r>
    </w:p>
    <w:p w14:paraId="2DD353E1" w14:textId="77777777" w:rsidR="007D4A60" w:rsidRDefault="007D4A60" w:rsidP="008241D1">
      <w:pPr>
        <w:spacing w:line="360" w:lineRule="auto"/>
        <w:rPr>
          <w:lang w:val="de-DE"/>
        </w:rPr>
      </w:pPr>
    </w:p>
    <w:p w14:paraId="1F459DD5" w14:textId="40C98327" w:rsidR="007D4A60" w:rsidRDefault="007D4A60" w:rsidP="008241D1">
      <w:pPr>
        <w:spacing w:line="360" w:lineRule="auto"/>
        <w:rPr>
          <w:lang w:val="de-DE"/>
        </w:rPr>
      </w:pPr>
      <w:r>
        <w:rPr>
          <w:lang w:val="de-DE"/>
        </w:rPr>
        <w:t>Weniger bekannt ist, dass zwischen beiden eine Polemik entbrannte, die nur unzureichend als literarische Fehde bezeichnet werden kann, denn die Auseinandersetzung war nicht auf Fragen der Kunst beschränkt.</w:t>
      </w:r>
      <w:r>
        <w:rPr>
          <w:rStyle w:val="FootnoteReference"/>
          <w:lang w:val="de-DE"/>
        </w:rPr>
        <w:footnoteReference w:id="5"/>
      </w:r>
      <w:r>
        <w:rPr>
          <w:lang w:val="de-DE"/>
        </w:rPr>
        <w:t xml:space="preserve"> Es ging dabei um die Einschätzung der Sexualität, die Frage nach der </w:t>
      </w:r>
      <w:r>
        <w:rPr>
          <w:lang w:val="de-DE"/>
        </w:rPr>
        <w:lastRenderedPageBreak/>
        <w:t xml:space="preserve">Notwendigkeit von Krieg, das Verhältnis von Wissenschaft und Religion sowie um die Stellung der Arbeit in unserem Leben – kurz: um die Bestimmung des Menschen. Es ist daher bedauerlich, dass die beiden Namen in Philosophiegeschichten gewöhnlich nicht auftauchen. Eine rühmliche Ausnahme stellt Karl Löwiths </w:t>
      </w:r>
      <w:r w:rsidRPr="00CC2D5F">
        <w:rPr>
          <w:i/>
          <w:lang w:val="de-DE"/>
        </w:rPr>
        <w:t>Von Hegel zu Nietzsche. Der revolutionäre Bruch im Denken des neunzehnten Jahrhunderts</w:t>
      </w:r>
      <w:r>
        <w:rPr>
          <w:i/>
          <w:lang w:val="de-DE"/>
        </w:rPr>
        <w:t xml:space="preserve"> </w:t>
      </w:r>
      <w:r w:rsidRPr="0068068A">
        <w:rPr>
          <w:lang w:val="de-DE"/>
        </w:rPr>
        <w:t>dar</w:t>
      </w:r>
      <w:r w:rsidRPr="00CC2D5F">
        <w:rPr>
          <w:lang w:val="de-DE"/>
        </w:rPr>
        <w:t>.</w:t>
      </w:r>
      <w:r w:rsidRPr="00B23A89">
        <w:rPr>
          <w:b/>
          <w:lang w:val="de-DE"/>
        </w:rPr>
        <w:t xml:space="preserve"> </w:t>
      </w:r>
      <w:r w:rsidRPr="00CC2D5F">
        <w:rPr>
          <w:lang w:val="de-DE"/>
        </w:rPr>
        <w:t xml:space="preserve">Im Kapitel </w:t>
      </w:r>
      <w:r>
        <w:rPr>
          <w:lang w:val="de-DE"/>
        </w:rPr>
        <w:t>„</w:t>
      </w:r>
      <w:r w:rsidRPr="00CC2D5F">
        <w:rPr>
          <w:lang w:val="de-DE"/>
        </w:rPr>
        <w:t>Das Problem der Arbeit</w:t>
      </w:r>
      <w:r>
        <w:rPr>
          <w:lang w:val="de-DE"/>
        </w:rPr>
        <w:t>“</w:t>
      </w:r>
      <w:r>
        <w:rPr>
          <w:rStyle w:val="FootnoteReference"/>
          <w:lang w:val="de-DE"/>
        </w:rPr>
        <w:footnoteReference w:id="6"/>
      </w:r>
      <w:r w:rsidRPr="00CC2D5F">
        <w:rPr>
          <w:lang w:val="de-DE"/>
        </w:rPr>
        <w:t xml:space="preserve"> </w:t>
      </w:r>
      <w:r>
        <w:rPr>
          <w:lang w:val="de-DE"/>
        </w:rPr>
        <w:t>nennt er Zola einen „klassischen Lobredner der Arbeit“</w:t>
      </w:r>
      <w:r>
        <w:rPr>
          <w:rStyle w:val="FootnoteReference"/>
          <w:lang w:val="de-DE"/>
        </w:rPr>
        <w:footnoteReference w:id="7"/>
      </w:r>
      <w:r>
        <w:rPr>
          <w:lang w:val="de-DE"/>
        </w:rPr>
        <w:t>. Dabei zitiert Löwith eine Passage aus Zolas „Rede an die Jugend“</w:t>
      </w:r>
      <w:r w:rsidR="003742F1">
        <w:rPr>
          <w:lang w:val="de-DE"/>
        </w:rPr>
        <w:t>;</w:t>
      </w:r>
      <w:r>
        <w:rPr>
          <w:lang w:val="de-DE"/>
        </w:rPr>
        <w:t xml:space="preserve"> ein Satz </w:t>
      </w:r>
      <w:r w:rsidR="003742F1">
        <w:rPr>
          <w:lang w:val="de-DE"/>
        </w:rPr>
        <w:t>daraus fasst</w:t>
      </w:r>
      <w:r>
        <w:rPr>
          <w:lang w:val="de-DE"/>
        </w:rPr>
        <w:t xml:space="preserve"> Zolas </w:t>
      </w:r>
      <w:r w:rsidR="003742F1">
        <w:rPr>
          <w:lang w:val="de-DE"/>
        </w:rPr>
        <w:t>Auffassung treffend zusammen</w:t>
      </w:r>
      <w:r>
        <w:rPr>
          <w:lang w:val="de-DE"/>
        </w:rPr>
        <w:t>: „Das Leben hat nur diesen Sinn, nur diese Existenzberechtigung; wir sind alle nur dazu da, unsere Summe von Arbeit zu liefern und dann zu verschwinden.“</w:t>
      </w:r>
      <w:r>
        <w:rPr>
          <w:rStyle w:val="FootnoteReference"/>
          <w:lang w:val="de-DE"/>
        </w:rPr>
        <w:footnoteReference w:id="8"/>
      </w:r>
      <w:r>
        <w:rPr>
          <w:lang w:val="de-DE"/>
        </w:rPr>
        <w:t xml:space="preserve"> </w:t>
      </w:r>
    </w:p>
    <w:p w14:paraId="4CC4A59B" w14:textId="77777777" w:rsidR="007D4A60" w:rsidRDefault="007D4A60" w:rsidP="008241D1">
      <w:pPr>
        <w:spacing w:line="360" w:lineRule="auto"/>
        <w:rPr>
          <w:lang w:val="de-DE"/>
        </w:rPr>
      </w:pPr>
    </w:p>
    <w:p w14:paraId="2F12121D" w14:textId="263AA9B8" w:rsidR="007D4A60" w:rsidRDefault="007D4A60" w:rsidP="008241D1">
      <w:pPr>
        <w:spacing w:line="360" w:lineRule="auto"/>
        <w:rPr>
          <w:lang w:val="de-DE"/>
        </w:rPr>
      </w:pPr>
      <w:r>
        <w:rPr>
          <w:lang w:val="de-DE"/>
        </w:rPr>
        <w:t xml:space="preserve">Zolas Position ergibt sich folgerichtig aus seinem Positivismus: wesentlich mehr kann ein materialistischer Determinismus an Heilsversprechen nicht anbieten. Nachdem der Begründer des Positivismus Auguste Comte entschieden hatte, dass die Fragen der Religion und Philosophie nach </w:t>
      </w:r>
      <w:r w:rsidR="003742F1">
        <w:rPr>
          <w:lang w:val="de-DE"/>
        </w:rPr>
        <w:t>dem Woher und Wohin</w:t>
      </w:r>
      <w:r>
        <w:rPr>
          <w:lang w:val="de-DE"/>
        </w:rPr>
        <w:t xml:space="preserve"> </w:t>
      </w:r>
      <w:r w:rsidR="005A3B90">
        <w:rPr>
          <w:lang w:val="de-DE"/>
        </w:rPr>
        <w:t>d</w:t>
      </w:r>
      <w:r>
        <w:rPr>
          <w:lang w:val="de-DE"/>
        </w:rPr>
        <w:t>er „nichtigen Befriedigung einer unfruchtbaren Neugier“</w:t>
      </w:r>
      <w:r w:rsidR="003742F1">
        <w:rPr>
          <w:rStyle w:val="FootnoteReference"/>
          <w:lang w:val="de-DE"/>
        </w:rPr>
        <w:footnoteReference w:id="9"/>
      </w:r>
      <w:r w:rsidR="003742F1">
        <w:rPr>
          <w:lang w:val="de-DE"/>
        </w:rPr>
        <w:t xml:space="preserve"> </w:t>
      </w:r>
      <w:r>
        <w:rPr>
          <w:lang w:val="de-DE"/>
        </w:rPr>
        <w:t>gleiche und die Wissenschaft konkreten gesellschaftlichen Zielen „nach praktischer Verbesserung der menschlichen Lage“</w:t>
      </w:r>
      <w:r w:rsidR="003742F1">
        <w:rPr>
          <w:rStyle w:val="FootnoteReference"/>
          <w:lang w:val="de-DE"/>
        </w:rPr>
        <w:footnoteReference w:id="10"/>
      </w:r>
      <w:r>
        <w:rPr>
          <w:lang w:val="de-DE"/>
        </w:rPr>
        <w:t xml:space="preserve"> zu dienen habe, blieb den Anhängern seiner Lehre nichts als die Bemühung um „die ständige Verbesserung unserer individuellen und kollektiven Lebensbedingungen“</w:t>
      </w:r>
      <w:r w:rsidR="003742F1">
        <w:rPr>
          <w:rStyle w:val="FootnoteReference"/>
          <w:lang w:val="de-DE"/>
        </w:rPr>
        <w:footnoteReference w:id="11"/>
      </w:r>
      <w:r w:rsidR="003742F1">
        <w:rPr>
          <w:lang w:val="de-DE"/>
        </w:rPr>
        <w:t>.</w:t>
      </w:r>
      <w:r>
        <w:rPr>
          <w:lang w:val="de-DE"/>
        </w:rPr>
        <w:t xml:space="preserve"> </w:t>
      </w:r>
      <w:r w:rsidR="003742F1">
        <w:rPr>
          <w:lang w:val="de-DE"/>
        </w:rPr>
        <w:t xml:space="preserve">Während es </w:t>
      </w:r>
      <w:r>
        <w:rPr>
          <w:lang w:val="de-DE"/>
        </w:rPr>
        <w:t>Tolstoi in eine schwere existenzielle Krise trieb, dass er keine Antwort auf die Frage „Hat mein Leben einen Zweck, der durch den unausbleiblichen, mir bevorstehenden Tod nicht aufgehoben wird?“</w:t>
      </w:r>
      <w:r>
        <w:rPr>
          <w:rStyle w:val="FootnoteReference"/>
          <w:lang w:val="de-DE"/>
        </w:rPr>
        <w:footnoteReference w:id="12"/>
      </w:r>
      <w:r>
        <w:rPr>
          <w:lang w:val="de-DE"/>
        </w:rPr>
        <w:t xml:space="preserve"> finden konnte, gibt Zola den folgenden Rat: „Es mag ja sehr schön sein, von der Ewigkeit zu träumen, aber dem ehrlichen Manne genügt es, </w:t>
      </w:r>
      <w:r>
        <w:rPr>
          <w:lang w:val="de-DE"/>
        </w:rPr>
        <w:lastRenderedPageBreak/>
        <w:t>sein Werk vollbracht zu haben.“</w:t>
      </w:r>
      <w:r w:rsidR="003742F1">
        <w:rPr>
          <w:rStyle w:val="FootnoteReference"/>
          <w:lang w:val="de-DE"/>
        </w:rPr>
        <w:footnoteReference w:id="13"/>
      </w:r>
      <w:r>
        <w:rPr>
          <w:lang w:val="de-DE"/>
        </w:rPr>
        <w:t xml:space="preserve"> Treffend bemerkt Löwith hierzu: „Nur seltene Geister wie Nietzsche und Tolstoi haben das falsche Pathos und den verborgenen Nihilismus erkannt, der diese Sch</w:t>
      </w:r>
      <w:r w:rsidRPr="00E57080">
        <w:rPr>
          <w:lang w:val="de-DE"/>
        </w:rPr>
        <w:t>ä</w:t>
      </w:r>
      <w:r>
        <w:rPr>
          <w:lang w:val="de-DE"/>
        </w:rPr>
        <w:t>tzung der Arbeit kennzeichnet.“</w:t>
      </w:r>
      <w:r>
        <w:rPr>
          <w:rStyle w:val="FootnoteReference"/>
          <w:lang w:val="de-DE"/>
        </w:rPr>
        <w:footnoteReference w:id="14"/>
      </w:r>
    </w:p>
    <w:p w14:paraId="634D9E1A" w14:textId="77777777" w:rsidR="007D4A60" w:rsidRDefault="007D4A60" w:rsidP="008241D1">
      <w:pPr>
        <w:spacing w:line="360" w:lineRule="auto"/>
        <w:rPr>
          <w:lang w:val="de-DE"/>
        </w:rPr>
      </w:pPr>
    </w:p>
    <w:p w14:paraId="393CAB97" w14:textId="45648ED7" w:rsidR="00035ABB" w:rsidRDefault="007D4A60" w:rsidP="008241D1">
      <w:pPr>
        <w:spacing w:line="360" w:lineRule="auto"/>
        <w:rPr>
          <w:lang w:val="de-DE"/>
        </w:rPr>
      </w:pPr>
      <w:r>
        <w:rPr>
          <w:lang w:val="de-DE"/>
        </w:rPr>
        <w:t xml:space="preserve">In Tolstois Überwindung des Nihilismus </w:t>
      </w:r>
      <w:r w:rsidR="003742F1">
        <w:rPr>
          <w:lang w:val="de-DE"/>
        </w:rPr>
        <w:t>und der eigenen existenziellen Krise</w:t>
      </w:r>
      <w:r w:rsidR="00234A1C">
        <w:rPr>
          <w:lang w:val="de-DE"/>
        </w:rPr>
        <w:t xml:space="preserve"> </w:t>
      </w:r>
      <w:r>
        <w:rPr>
          <w:lang w:val="de-DE"/>
        </w:rPr>
        <w:t>gr</w:t>
      </w:r>
      <w:r w:rsidR="00234A1C">
        <w:rPr>
          <w:lang w:val="de-DE"/>
        </w:rPr>
        <w:t>iff</w:t>
      </w:r>
      <w:r>
        <w:rPr>
          <w:lang w:val="de-DE"/>
        </w:rPr>
        <w:t xml:space="preserve"> er auf die Lehren der Religion und Philosophie zurück, da diese, anders als die Wissenschaft</w:t>
      </w:r>
      <w:r>
        <w:rPr>
          <w:rStyle w:val="FootnoteReference"/>
          <w:lang w:val="de-DE"/>
        </w:rPr>
        <w:footnoteReference w:id="15"/>
      </w:r>
      <w:r>
        <w:rPr>
          <w:lang w:val="de-DE"/>
        </w:rPr>
        <w:t xml:space="preserve"> seiner Zeit, Antworten auf die </w:t>
      </w:r>
      <w:r w:rsidR="007A74BC">
        <w:rPr>
          <w:lang w:val="de-DE"/>
        </w:rPr>
        <w:t xml:space="preserve">Sinnfrage </w:t>
      </w:r>
      <w:r w:rsidR="00D82EF0">
        <w:rPr>
          <w:lang w:val="de-DE"/>
        </w:rPr>
        <w:t>geben</w:t>
      </w:r>
      <w:r>
        <w:rPr>
          <w:lang w:val="de-DE"/>
        </w:rPr>
        <w:t xml:space="preserve">. </w:t>
      </w:r>
      <w:r w:rsidR="00234A1C">
        <w:rPr>
          <w:lang w:val="de-DE"/>
        </w:rPr>
        <w:t>Tolstoi ist kein Wissenschaftsfeind</w:t>
      </w:r>
      <w:r w:rsidR="007A74BC">
        <w:rPr>
          <w:lang w:val="de-DE"/>
        </w:rPr>
        <w:t>,</w:t>
      </w:r>
      <w:r w:rsidR="00234A1C">
        <w:rPr>
          <w:lang w:val="de-DE"/>
        </w:rPr>
        <w:t xml:space="preserve"> allerdings verlangt er von der Wissenschaft, dass sie, wie die Religion und die Philosophie, </w:t>
      </w:r>
      <w:r w:rsidR="007A74BC" w:rsidRPr="007A74BC">
        <w:rPr>
          <w:i/>
          <w:lang w:val="de-DE"/>
        </w:rPr>
        <w:t>normativ</w:t>
      </w:r>
      <w:r w:rsidR="007A74BC">
        <w:rPr>
          <w:lang w:val="de-DE"/>
        </w:rPr>
        <w:t xml:space="preserve"> sein müsse. </w:t>
      </w:r>
      <w:r w:rsidR="00234A1C">
        <w:rPr>
          <w:lang w:val="de-DE"/>
        </w:rPr>
        <w:t xml:space="preserve">In einem Brief an Romain Rolland schreibt </w:t>
      </w:r>
      <w:r w:rsidR="00367775">
        <w:rPr>
          <w:lang w:val="de-DE"/>
        </w:rPr>
        <w:t>er</w:t>
      </w:r>
      <w:r w:rsidR="00234A1C">
        <w:rPr>
          <w:lang w:val="de-DE"/>
        </w:rPr>
        <w:t>: „Unter allen Wissenschaften jedoch, die der Mensch beherrschen kann und muß, ist die wichtigste diejenige, die lehrt, wie man leben soll, um möglichst wenig Böses und möglichst viel Gutes zu tun“</w:t>
      </w:r>
      <w:r w:rsidR="00234A1C">
        <w:rPr>
          <w:rStyle w:val="FootnoteReference"/>
          <w:lang w:val="de-DE"/>
        </w:rPr>
        <w:footnoteReference w:id="16"/>
      </w:r>
      <w:r w:rsidR="00234A1C">
        <w:rPr>
          <w:lang w:val="de-DE"/>
        </w:rPr>
        <w:t xml:space="preserve"> Während der Positivismus von der Wissenschaft verlangt, zur materialen Wohlfahrt der Menschheit beizutragen, </w:t>
      </w:r>
      <w:r w:rsidR="00EC757F">
        <w:rPr>
          <w:lang w:val="de-DE"/>
        </w:rPr>
        <w:t>verlangt Tolstoi Antworten auf existenzielle Fragen</w:t>
      </w:r>
      <w:r w:rsidR="007A74BC">
        <w:rPr>
          <w:lang w:val="de-DE"/>
        </w:rPr>
        <w:t xml:space="preserve"> und Handlungsanweisen</w:t>
      </w:r>
      <w:r w:rsidR="00035ABB">
        <w:rPr>
          <w:lang w:val="de-DE"/>
        </w:rPr>
        <w:t>.</w:t>
      </w:r>
    </w:p>
    <w:p w14:paraId="0975A572" w14:textId="77777777" w:rsidR="00035ABB" w:rsidRDefault="00035ABB" w:rsidP="008241D1">
      <w:pPr>
        <w:spacing w:line="360" w:lineRule="auto"/>
        <w:rPr>
          <w:lang w:val="de-DE"/>
        </w:rPr>
      </w:pPr>
    </w:p>
    <w:p w14:paraId="610B5BA5" w14:textId="6CF97EA0" w:rsidR="00367775" w:rsidRDefault="00EC757F" w:rsidP="008241D1">
      <w:pPr>
        <w:spacing w:line="360" w:lineRule="auto"/>
        <w:rPr>
          <w:lang w:val="de-DE"/>
        </w:rPr>
      </w:pPr>
      <w:r>
        <w:rPr>
          <w:lang w:val="de-DE"/>
        </w:rPr>
        <w:t>Die Antworten auf seine Fragen fand Tolstoi in der Lebensweisheit der religiösen und philosophischen Überlieferung – und im Neuen Testament.</w:t>
      </w:r>
      <w:r>
        <w:rPr>
          <w:rStyle w:val="FootnoteReference"/>
          <w:lang w:val="de-DE"/>
        </w:rPr>
        <w:footnoteReference w:id="17"/>
      </w:r>
      <w:r>
        <w:rPr>
          <w:lang w:val="de-DE"/>
        </w:rPr>
        <w:t xml:space="preserve"> Seiner Meinung nach könne</w:t>
      </w:r>
      <w:r w:rsidR="007D4A60">
        <w:rPr>
          <w:lang w:val="de-DE"/>
        </w:rPr>
        <w:t xml:space="preserve"> die Menschheit nur gerettet werden kann,</w:t>
      </w:r>
      <w:r w:rsidR="007D4A60" w:rsidRPr="00691121">
        <w:rPr>
          <w:lang w:val="de-DE"/>
        </w:rPr>
        <w:t xml:space="preserve"> </w:t>
      </w:r>
      <w:r w:rsidR="007D4A60">
        <w:rPr>
          <w:lang w:val="de-DE"/>
        </w:rPr>
        <w:t>„</w:t>
      </w:r>
      <w:r w:rsidR="007D4A60" w:rsidRPr="00691121">
        <w:rPr>
          <w:lang w:val="de-DE"/>
        </w:rPr>
        <w:t xml:space="preserve">wenn die Menschen die christliche Lebensanschauung </w:t>
      </w:r>
      <w:r w:rsidR="007D4A60" w:rsidRPr="00691121">
        <w:rPr>
          <w:lang w:val="de-DE"/>
        </w:rPr>
        <w:lastRenderedPageBreak/>
        <w:t>annehmen</w:t>
      </w:r>
      <w:r w:rsidR="007D4A60">
        <w:rPr>
          <w:lang w:val="de-DE"/>
        </w:rPr>
        <w:t>“</w:t>
      </w:r>
      <w:r w:rsidR="007D4A60">
        <w:rPr>
          <w:rStyle w:val="FootnoteReference"/>
          <w:lang w:val="de-DE"/>
        </w:rPr>
        <w:footnoteReference w:id="18"/>
      </w:r>
      <w:r w:rsidR="007D4A60">
        <w:rPr>
          <w:lang w:val="de-DE"/>
        </w:rPr>
        <w:t xml:space="preserve">. Was damit gemeint ist, kann in eine kurze Formel gefasst werden, welche bereits Alexandre Dumas der Jüngere in seinem hier ebenfalls wieder vorgelegten Brief Zola empfohlen hatte: </w:t>
      </w:r>
      <w:r w:rsidR="005A3B90">
        <w:rPr>
          <w:lang w:val="de-DE"/>
        </w:rPr>
        <w:t>„Liebet einander“.</w:t>
      </w:r>
      <w:r w:rsidR="005A3B90">
        <w:rPr>
          <w:rStyle w:val="FootnoteReference"/>
          <w:lang w:val="de-DE"/>
        </w:rPr>
        <w:footnoteReference w:id="19"/>
      </w:r>
    </w:p>
    <w:p w14:paraId="04A8853D" w14:textId="77777777" w:rsidR="00367775" w:rsidRDefault="00367775" w:rsidP="008241D1">
      <w:pPr>
        <w:spacing w:line="360" w:lineRule="auto"/>
        <w:rPr>
          <w:lang w:val="de-DE"/>
        </w:rPr>
      </w:pPr>
    </w:p>
    <w:p w14:paraId="33B734CC" w14:textId="6A2A9C75" w:rsidR="007D4A60" w:rsidRDefault="00E86EB5" w:rsidP="008241D1">
      <w:pPr>
        <w:spacing w:line="360" w:lineRule="auto"/>
        <w:rPr>
          <w:lang w:val="de-DE"/>
        </w:rPr>
      </w:pPr>
      <w:r>
        <w:rPr>
          <w:lang w:val="de-DE"/>
        </w:rPr>
        <w:t xml:space="preserve">Der Weg zur universalen Lieben, welcher </w:t>
      </w:r>
      <w:r w:rsidR="00D82EF0">
        <w:rPr>
          <w:lang w:val="de-DE"/>
        </w:rPr>
        <w:t xml:space="preserve">für Tolstoi </w:t>
      </w:r>
      <w:r>
        <w:rPr>
          <w:lang w:val="de-DE"/>
        </w:rPr>
        <w:t>der einzige</w:t>
      </w:r>
      <w:r w:rsidR="007D4A60">
        <w:rPr>
          <w:lang w:val="de-DE"/>
        </w:rPr>
        <w:t xml:space="preserve"> Ausweg </w:t>
      </w:r>
      <w:r>
        <w:rPr>
          <w:lang w:val="de-DE"/>
        </w:rPr>
        <w:t xml:space="preserve">aus der Krise ist, führt nur über </w:t>
      </w:r>
      <w:r w:rsidR="007D4A60">
        <w:rPr>
          <w:lang w:val="de-DE"/>
        </w:rPr>
        <w:t xml:space="preserve">einen inneren Wandel. Dieser kann nicht verordnet, er muss selbst hervorgebracht werden. Und dies wiederum kann nur dann geschehen, wenn man aufhört, tätig zu sein und seinen Blick nach </w:t>
      </w:r>
      <w:r>
        <w:rPr>
          <w:lang w:val="de-DE"/>
        </w:rPr>
        <w:t>i</w:t>
      </w:r>
      <w:r w:rsidR="007D4A60">
        <w:rPr>
          <w:lang w:val="de-DE"/>
        </w:rPr>
        <w:t>nnen wendet</w:t>
      </w:r>
      <w:r w:rsidR="00035ABB">
        <w:rPr>
          <w:lang w:val="de-DE"/>
        </w:rPr>
        <w:t xml:space="preserve">, um </w:t>
      </w:r>
      <w:r w:rsidR="007D4A60">
        <w:rPr>
          <w:lang w:val="de-DE"/>
        </w:rPr>
        <w:t xml:space="preserve">sich Rechenschaft über </w:t>
      </w:r>
      <w:r>
        <w:rPr>
          <w:lang w:val="de-DE"/>
        </w:rPr>
        <w:t>sein Denken</w:t>
      </w:r>
      <w:r w:rsidR="007D4A60">
        <w:rPr>
          <w:lang w:val="de-DE"/>
        </w:rPr>
        <w:t xml:space="preserve"> und Tun </w:t>
      </w:r>
      <w:r w:rsidR="00035ABB">
        <w:rPr>
          <w:lang w:val="de-DE"/>
        </w:rPr>
        <w:t>zu geben</w:t>
      </w:r>
      <w:r w:rsidR="007D4A60">
        <w:rPr>
          <w:lang w:val="de-DE"/>
        </w:rPr>
        <w:t xml:space="preserve">. </w:t>
      </w:r>
      <w:r w:rsidR="00035ABB">
        <w:rPr>
          <w:lang w:val="de-DE"/>
        </w:rPr>
        <w:t xml:space="preserve">Das </w:t>
      </w:r>
      <w:r w:rsidR="007D4A60">
        <w:rPr>
          <w:lang w:val="de-DE"/>
        </w:rPr>
        <w:t xml:space="preserve">Sokratische </w:t>
      </w:r>
      <w:r w:rsidR="007D4A60" w:rsidRPr="00F53276">
        <w:rPr>
          <w:i/>
          <w:lang w:val="de-DE"/>
        </w:rPr>
        <w:t>Erkenne dich selbst</w:t>
      </w:r>
      <w:r w:rsidR="007D4A60">
        <w:rPr>
          <w:lang w:val="de-DE"/>
        </w:rPr>
        <w:t xml:space="preserve"> </w:t>
      </w:r>
      <w:r w:rsidR="00035ABB">
        <w:rPr>
          <w:lang w:val="de-DE"/>
        </w:rPr>
        <w:t>fordert zur Introspektion und zur Umkehr auf</w:t>
      </w:r>
      <w:r w:rsidR="007D4A60">
        <w:rPr>
          <w:lang w:val="de-DE"/>
        </w:rPr>
        <w:t>.</w:t>
      </w:r>
      <w:r w:rsidR="007D4A60">
        <w:rPr>
          <w:rStyle w:val="FootnoteReference"/>
          <w:lang w:val="de-DE"/>
        </w:rPr>
        <w:footnoteReference w:id="20"/>
      </w:r>
      <w:r w:rsidR="007D4A60">
        <w:rPr>
          <w:lang w:val="de-DE"/>
        </w:rPr>
        <w:t xml:space="preserve"> Für Tolstoi hat Jesus</w:t>
      </w:r>
      <w:r w:rsidR="00A80BB8">
        <w:rPr>
          <w:lang w:val="de-DE"/>
        </w:rPr>
        <w:t xml:space="preserve"> </w:t>
      </w:r>
      <w:r w:rsidR="007D4A60">
        <w:rPr>
          <w:lang w:val="de-DE"/>
        </w:rPr>
        <w:t>den Weg gewiesen: „Christus hat gesagt: Besinnet Euch. Das heißt: jeder Mensch halte still in seiner Tätigkeit und frage sich: Wer bist Du, woher kommst Du, was ist Deine Bestimmung?“</w:t>
      </w:r>
      <w:r w:rsidR="007D4A60">
        <w:rPr>
          <w:rStyle w:val="FootnoteReference"/>
          <w:lang w:val="de-DE"/>
        </w:rPr>
        <w:footnoteReference w:id="21"/>
      </w:r>
      <w:r w:rsidR="007D4A60">
        <w:rPr>
          <w:lang w:val="de-DE"/>
        </w:rPr>
        <w:t xml:space="preserve"> </w:t>
      </w:r>
    </w:p>
    <w:p w14:paraId="1671386C" w14:textId="77777777" w:rsidR="007D4A60" w:rsidRDefault="007D4A60" w:rsidP="008241D1">
      <w:pPr>
        <w:spacing w:line="360" w:lineRule="auto"/>
        <w:rPr>
          <w:lang w:val="de-DE"/>
        </w:rPr>
      </w:pPr>
    </w:p>
    <w:p w14:paraId="3FC1D800" w14:textId="0AD66AC1" w:rsidR="007D4A60" w:rsidRDefault="007D4A60" w:rsidP="008241D1">
      <w:pPr>
        <w:spacing w:line="360" w:lineRule="auto"/>
        <w:rPr>
          <w:lang w:val="de-DE"/>
        </w:rPr>
      </w:pPr>
      <w:r>
        <w:rPr>
          <w:lang w:val="de-DE"/>
        </w:rPr>
        <w:t>II.</w:t>
      </w:r>
    </w:p>
    <w:p w14:paraId="0A8843AE" w14:textId="5E8D5E84" w:rsidR="007D4A60" w:rsidRDefault="007D4A60" w:rsidP="008241D1">
      <w:pPr>
        <w:spacing w:line="360" w:lineRule="auto"/>
        <w:rPr>
          <w:lang w:val="de-DE"/>
        </w:rPr>
      </w:pPr>
      <w:r>
        <w:rPr>
          <w:lang w:val="de-DE"/>
        </w:rPr>
        <w:t>Zolas programmatischer Aufruf zur Arbeit wurde von einem zeitgenössischen Journalisten treffend als „Evangelium der Schinderei“</w:t>
      </w:r>
      <w:r>
        <w:rPr>
          <w:rStyle w:val="FootnoteReference"/>
          <w:lang w:val="de-DE"/>
        </w:rPr>
        <w:footnoteReference w:id="22"/>
      </w:r>
      <w:r>
        <w:rPr>
          <w:lang w:val="de-DE"/>
        </w:rPr>
        <w:t xml:space="preserve"> bezeichnet. Tolstoi fragt in seiner</w:t>
      </w:r>
      <w:r w:rsidR="00E86EB5">
        <w:rPr>
          <w:lang w:val="de-DE"/>
        </w:rPr>
        <w:t xml:space="preserve"> Antwort auf</w:t>
      </w:r>
      <w:r>
        <w:rPr>
          <w:lang w:val="de-DE"/>
        </w:rPr>
        <w:t xml:space="preserve"> Zola</w:t>
      </w:r>
      <w:r w:rsidR="00E86EB5">
        <w:rPr>
          <w:lang w:val="de-DE"/>
        </w:rPr>
        <w:t xml:space="preserve"> und Dumas</w:t>
      </w:r>
      <w:r>
        <w:rPr>
          <w:lang w:val="de-DE"/>
        </w:rPr>
        <w:t>, wie es dazu kommen konnte, dass in Europa die Arbeit zur Tugend und zum Sinnstifter menschlicher Existenz aufgestiegen ist</w:t>
      </w:r>
      <w:r w:rsidR="00035ABB">
        <w:rPr>
          <w:lang w:val="de-DE"/>
        </w:rPr>
        <w:t xml:space="preserve">: „Bereits bevor ich die Rede las, in welcher Zola aus der Arbeit, welche es auch immer sei, einen Verdienst macht, </w:t>
      </w:r>
      <w:r w:rsidR="00035ABB" w:rsidRPr="009E4E58">
        <w:rPr>
          <w:lang w:val="de-DE"/>
        </w:rPr>
        <w:t xml:space="preserve">hat mich immer wieder die vor allem in Europa verbreitete Ansicht </w:t>
      </w:r>
      <w:r w:rsidR="00035ABB">
        <w:rPr>
          <w:lang w:val="de-DE"/>
        </w:rPr>
        <w:t>in Erstaunen versetzt</w:t>
      </w:r>
      <w:r w:rsidR="00035ABB" w:rsidRPr="009E4E58">
        <w:rPr>
          <w:lang w:val="de-DE"/>
        </w:rPr>
        <w:t xml:space="preserve">, dass Arbeit eine Art Tugend </w:t>
      </w:r>
      <w:r w:rsidR="00035ABB">
        <w:rPr>
          <w:lang w:val="de-DE"/>
        </w:rPr>
        <w:t>sei</w:t>
      </w:r>
      <w:r w:rsidR="00035ABB" w:rsidRPr="009E4E58">
        <w:rPr>
          <w:lang w:val="de-DE"/>
        </w:rPr>
        <w:t>.</w:t>
      </w:r>
      <w:r w:rsidR="00035ABB">
        <w:rPr>
          <w:lang w:val="de-DE"/>
        </w:rPr>
        <w:t>“</w:t>
      </w:r>
      <w:r w:rsidR="00035ABB">
        <w:rPr>
          <w:rStyle w:val="FootnoteReference"/>
          <w:lang w:val="de-DE"/>
        </w:rPr>
        <w:footnoteReference w:id="23"/>
      </w:r>
      <w:r w:rsidR="00035ABB">
        <w:rPr>
          <w:lang w:val="de-DE"/>
        </w:rPr>
        <w:t xml:space="preserve"> </w:t>
      </w:r>
      <w:r>
        <w:rPr>
          <w:lang w:val="de-DE"/>
        </w:rPr>
        <w:t xml:space="preserve">In der Tat ist es verwunderlich, aus welch unterschiedlichen Voraussetzungen in der </w:t>
      </w:r>
      <w:r>
        <w:rPr>
          <w:lang w:val="de-DE"/>
        </w:rPr>
        <w:lastRenderedPageBreak/>
        <w:t xml:space="preserve">europäischen Geistesgeschichte die Schlussfolgerung gezogen wurde, dass Sinn und Zweck unseres Daseins die Arbeit (Tätigkeit, Geschäftigkeit) sei. </w:t>
      </w:r>
    </w:p>
    <w:p w14:paraId="28992F39" w14:textId="77777777" w:rsidR="007D4A60" w:rsidRDefault="007D4A60" w:rsidP="008241D1">
      <w:pPr>
        <w:spacing w:line="360" w:lineRule="auto"/>
        <w:rPr>
          <w:lang w:val="de-DE"/>
        </w:rPr>
      </w:pPr>
    </w:p>
    <w:p w14:paraId="17B55C5A" w14:textId="61F56DB0" w:rsidR="007D4A60" w:rsidRPr="00C91C89" w:rsidRDefault="007D4A60" w:rsidP="008241D1">
      <w:pPr>
        <w:spacing w:line="360" w:lineRule="auto"/>
        <w:rPr>
          <w:lang w:val="de-DE"/>
        </w:rPr>
      </w:pPr>
      <w:r>
        <w:rPr>
          <w:lang w:val="de-DE"/>
        </w:rPr>
        <w:t>Bei Isaac Barrow</w:t>
      </w:r>
      <w:r w:rsidR="00D82EF0">
        <w:rPr>
          <w:rStyle w:val="FootnoteReference"/>
          <w:lang w:val="de-DE"/>
        </w:rPr>
        <w:footnoteReference w:id="24"/>
      </w:r>
      <w:r>
        <w:rPr>
          <w:lang w:val="de-DE"/>
        </w:rPr>
        <w:t xml:space="preserve">, einem anglikanischen Theologen und Mathematiker des 17. Jahrhunderts wird in </w:t>
      </w:r>
      <w:r w:rsidR="006F3E64">
        <w:rPr>
          <w:lang w:val="de-DE"/>
        </w:rPr>
        <w:t>der</w:t>
      </w:r>
      <w:r>
        <w:rPr>
          <w:lang w:val="de-DE"/>
        </w:rPr>
        <w:t xml:space="preserve"> Schrift </w:t>
      </w:r>
      <w:r w:rsidRPr="00026833">
        <w:rPr>
          <w:i/>
          <w:lang w:val="de-DE"/>
        </w:rPr>
        <w:t>Vom</w:t>
      </w:r>
      <w:r>
        <w:rPr>
          <w:lang w:val="de-DE"/>
        </w:rPr>
        <w:t xml:space="preserve"> </w:t>
      </w:r>
      <w:r w:rsidRPr="000973D7">
        <w:rPr>
          <w:i/>
          <w:lang w:val="de-DE"/>
        </w:rPr>
        <w:t>Fleiß</w:t>
      </w:r>
      <w:r>
        <w:rPr>
          <w:lang w:val="de-DE"/>
        </w:rPr>
        <w:t xml:space="preserve"> (</w:t>
      </w:r>
      <w:r w:rsidRPr="000973D7">
        <w:rPr>
          <w:i/>
          <w:lang w:val="de-DE"/>
        </w:rPr>
        <w:t>Of Industry</w:t>
      </w:r>
      <w:r>
        <w:rPr>
          <w:lang w:val="de-DE"/>
        </w:rPr>
        <w:t xml:space="preserve">) das Primat der Arbeit </w:t>
      </w:r>
      <w:proofErr w:type="gramStart"/>
      <w:r>
        <w:rPr>
          <w:lang w:val="de-DE"/>
        </w:rPr>
        <w:t xml:space="preserve">von </w:t>
      </w:r>
      <w:r w:rsidR="00026833">
        <w:rPr>
          <w:lang w:val="de-DE"/>
        </w:rPr>
        <w:t>Gottes</w:t>
      </w:r>
      <w:proofErr w:type="gramEnd"/>
      <w:r w:rsidR="00026833">
        <w:rPr>
          <w:lang w:val="de-DE"/>
        </w:rPr>
        <w:t xml:space="preserve"> ewig währender Schöpfungst</w:t>
      </w:r>
      <w:r>
        <w:rPr>
          <w:lang w:val="de-DE"/>
        </w:rPr>
        <w:t>ätig</w:t>
      </w:r>
      <w:r w:rsidR="00026833">
        <w:rPr>
          <w:lang w:val="de-DE"/>
        </w:rPr>
        <w:t>keit</w:t>
      </w:r>
      <w:r>
        <w:rPr>
          <w:rStyle w:val="FootnoteReference"/>
          <w:lang w:val="de-DE"/>
        </w:rPr>
        <w:footnoteReference w:id="25"/>
      </w:r>
      <w:r>
        <w:rPr>
          <w:lang w:val="de-DE"/>
        </w:rPr>
        <w:t xml:space="preserve"> </w:t>
      </w:r>
      <w:r w:rsidR="00026833">
        <w:rPr>
          <w:lang w:val="de-DE"/>
        </w:rPr>
        <w:t>abgeleitet</w:t>
      </w:r>
      <w:r>
        <w:rPr>
          <w:lang w:val="de-DE"/>
        </w:rPr>
        <w:t xml:space="preserve">. Nicht anders als tätig hat Gott daher auch die Schöpfung eingerichtet. Und sei es nicht eine Ungeheuerlichkeit, nicht im Einklang mit dem Programm der Schöpfung </w:t>
      </w:r>
      <w:r w:rsidR="00724410">
        <w:rPr>
          <w:lang w:val="de-DE"/>
        </w:rPr>
        <w:t xml:space="preserve">zu </w:t>
      </w:r>
      <w:r w:rsidR="00035ABB">
        <w:rPr>
          <w:lang w:val="de-DE"/>
        </w:rPr>
        <w:t>leben</w:t>
      </w:r>
      <w:r>
        <w:rPr>
          <w:lang w:val="de-DE"/>
        </w:rPr>
        <w:t>?</w:t>
      </w:r>
      <w:r>
        <w:rPr>
          <w:rStyle w:val="FootnoteReference"/>
          <w:lang w:val="de-DE"/>
        </w:rPr>
        <w:footnoteReference w:id="26"/>
      </w:r>
      <w:r>
        <w:rPr>
          <w:lang w:val="de-DE"/>
        </w:rPr>
        <w:t xml:space="preserve"> Die Schöpfung sei wie ein fließendes klares und Leben spendendes Wasser</w:t>
      </w:r>
      <w:r>
        <w:rPr>
          <w:rStyle w:val="FootnoteReference"/>
          <w:lang w:val="de-DE"/>
        </w:rPr>
        <w:footnoteReference w:id="27"/>
      </w:r>
      <w:r>
        <w:rPr>
          <w:lang w:val="de-DE"/>
        </w:rPr>
        <w:t xml:space="preserve">: immer in Bewegung. Stillstand hingegen verwandelt diese Quelle des Lebens in eine schädliche, ungesunde Lache. </w:t>
      </w:r>
      <w:r w:rsidR="00724410">
        <w:rPr>
          <w:lang w:val="de-DE"/>
        </w:rPr>
        <w:t xml:space="preserve">Leistungsverweigerer wie der Faulpelz seien eine Plage, </w:t>
      </w:r>
      <w:r>
        <w:rPr>
          <w:lang w:val="de-DE"/>
        </w:rPr>
        <w:t xml:space="preserve">denn </w:t>
      </w:r>
      <w:r w:rsidR="00724410">
        <w:rPr>
          <w:lang w:val="de-DE"/>
        </w:rPr>
        <w:t>diese</w:t>
      </w:r>
      <w:r>
        <w:rPr>
          <w:lang w:val="de-DE"/>
        </w:rPr>
        <w:t xml:space="preserve"> </w:t>
      </w:r>
      <w:r w:rsidRPr="00C91C89">
        <w:rPr>
          <w:lang w:val="de-DE"/>
        </w:rPr>
        <w:t>verstopfe</w:t>
      </w:r>
      <w:r w:rsidR="00724410">
        <w:rPr>
          <w:lang w:val="de-DE"/>
        </w:rPr>
        <w:t>n</w:t>
      </w:r>
      <w:r w:rsidRPr="00C91C89">
        <w:rPr>
          <w:lang w:val="de-DE"/>
        </w:rPr>
        <w:t xml:space="preserve"> </w:t>
      </w:r>
      <w:r w:rsidR="00724410">
        <w:rPr>
          <w:lang w:val="de-DE"/>
        </w:rPr>
        <w:t xml:space="preserve">die Welt, da sie </w:t>
      </w:r>
      <w:r w:rsidRPr="00C91C89">
        <w:rPr>
          <w:lang w:val="de-DE"/>
        </w:rPr>
        <w:t>den Flu</w:t>
      </w:r>
      <w:r w:rsidR="00724410">
        <w:rPr>
          <w:lang w:val="de-DE"/>
        </w:rPr>
        <w:t>ss</w:t>
      </w:r>
      <w:r w:rsidRPr="00C91C89">
        <w:rPr>
          <w:lang w:val="de-DE"/>
        </w:rPr>
        <w:t xml:space="preserve"> der nimmermüden göttlichen Tätigkeit und der Schöpfung</w:t>
      </w:r>
      <w:r w:rsidR="00724410">
        <w:rPr>
          <w:lang w:val="de-DE"/>
        </w:rPr>
        <w:t xml:space="preserve"> hemmen und blockieren</w:t>
      </w:r>
      <w:r>
        <w:rPr>
          <w:lang w:val="de-DE"/>
        </w:rPr>
        <w:t>.</w:t>
      </w:r>
      <w:r>
        <w:rPr>
          <w:rStyle w:val="FootnoteReference"/>
          <w:lang w:val="de-DE"/>
        </w:rPr>
        <w:footnoteReference w:id="28"/>
      </w:r>
      <w:r>
        <w:rPr>
          <w:lang w:val="de-DE"/>
        </w:rPr>
        <w:t xml:space="preserve"> </w:t>
      </w:r>
    </w:p>
    <w:p w14:paraId="23A4967B" w14:textId="77777777" w:rsidR="007D4A60" w:rsidRPr="00C91C89" w:rsidRDefault="007D4A60" w:rsidP="008241D1">
      <w:pPr>
        <w:spacing w:line="360" w:lineRule="auto"/>
        <w:rPr>
          <w:lang w:val="de-DE"/>
        </w:rPr>
      </w:pPr>
    </w:p>
    <w:p w14:paraId="7C2D9F7B" w14:textId="799FB737" w:rsidR="007D4A60" w:rsidRDefault="007D4A60" w:rsidP="008241D1">
      <w:pPr>
        <w:spacing w:line="360" w:lineRule="auto"/>
        <w:rPr>
          <w:lang w:val="de-DE"/>
        </w:rPr>
      </w:pPr>
      <w:r>
        <w:rPr>
          <w:lang w:val="de-DE"/>
        </w:rPr>
        <w:t>Für Barrow fehlte es daher auch nicht an Arbeit im Paradies</w:t>
      </w:r>
      <w:r>
        <w:rPr>
          <w:rStyle w:val="FootnoteReference"/>
          <w:lang w:val="de-DE"/>
        </w:rPr>
        <w:footnoteReference w:id="29"/>
      </w:r>
      <w:r>
        <w:rPr>
          <w:lang w:val="de-DE"/>
        </w:rPr>
        <w:t xml:space="preserve">: wie könnte es anders </w:t>
      </w:r>
      <w:r w:rsidR="00035ABB">
        <w:rPr>
          <w:lang w:val="de-DE"/>
        </w:rPr>
        <w:t>sein</w:t>
      </w:r>
      <w:r>
        <w:rPr>
          <w:lang w:val="de-DE"/>
        </w:rPr>
        <w:t>? Dabei bringt Barrow das Kunststück fertig, auf der einen Seite die Arbeit als das Urwesen Gottes und damit der Schöpfung anzusehen, also als Segen aufzufassen, auf der anderen Seite die menschliche Arbeit als Strafe für die Übertretung im Paradies zu erklären.</w:t>
      </w:r>
      <w:r>
        <w:rPr>
          <w:rStyle w:val="FootnoteReference"/>
          <w:lang w:val="de-DE"/>
        </w:rPr>
        <w:footnoteReference w:id="30"/>
      </w:r>
      <w:r>
        <w:rPr>
          <w:lang w:val="de-DE"/>
        </w:rPr>
        <w:t xml:space="preserve"> Arbeit als Segen und Arbeit als Fluch. </w:t>
      </w:r>
      <w:r w:rsidR="007F724D">
        <w:rPr>
          <w:lang w:val="de-DE"/>
        </w:rPr>
        <w:t>Seine Argumentation kennt nur ein Ziel.</w:t>
      </w:r>
    </w:p>
    <w:p w14:paraId="7D4C37BA" w14:textId="77777777" w:rsidR="007D4A60" w:rsidRPr="00CC2D5F" w:rsidRDefault="007D4A60" w:rsidP="008241D1">
      <w:pPr>
        <w:spacing w:line="360" w:lineRule="auto"/>
        <w:rPr>
          <w:lang w:val="de-DE"/>
        </w:rPr>
      </w:pPr>
    </w:p>
    <w:p w14:paraId="014646B1" w14:textId="4D81558A" w:rsidR="007D4A60" w:rsidRDefault="007D4A60" w:rsidP="008241D1">
      <w:pPr>
        <w:spacing w:line="360" w:lineRule="auto"/>
        <w:rPr>
          <w:lang w:val="de-DE"/>
        </w:rPr>
      </w:pPr>
      <w:r>
        <w:rPr>
          <w:lang w:val="de-DE"/>
        </w:rPr>
        <w:lastRenderedPageBreak/>
        <w:t xml:space="preserve">Für Kant </w:t>
      </w:r>
      <w:r w:rsidR="00724410">
        <w:rPr>
          <w:lang w:val="de-DE"/>
        </w:rPr>
        <w:t>ergibt</w:t>
      </w:r>
      <w:r>
        <w:rPr>
          <w:lang w:val="de-DE"/>
        </w:rPr>
        <w:t xml:space="preserve"> sich das Primat der Arbeit aus dem Stolz der bürgerlichen Existenz, welche von sich sagen kann: das habe ich alles selbst gemacht, nichts wurde mir geschenkt, ich habe es mir redlich verdient und erworben! „Das größte Glück des Menschen ist, daß er selbst Urheber seiner Glückseligkeit ist, wenn er fühlt, das zu genießen, was er sich selbst erworben hat. Der Mensch kann ohne Arbeit niemals zufrieden sein.“</w:t>
      </w:r>
      <w:r>
        <w:rPr>
          <w:rStyle w:val="FootnoteReference"/>
          <w:lang w:val="de-DE"/>
        </w:rPr>
        <w:footnoteReference w:id="31"/>
      </w:r>
      <w:r>
        <w:rPr>
          <w:lang w:val="de-DE"/>
        </w:rPr>
        <w:t xml:space="preserve"> Zwei Horrorvorstellungen begleiten diese Sicht der Dinge: die erste ist die, etwas geschenkt zu bekommen, ohne es verdient zu haben.</w:t>
      </w:r>
      <w:r>
        <w:rPr>
          <w:rStyle w:val="FootnoteReference"/>
          <w:lang w:val="de-DE"/>
        </w:rPr>
        <w:footnoteReference w:id="32"/>
      </w:r>
      <w:r w:rsidR="00035ABB">
        <w:rPr>
          <w:lang w:val="de-DE"/>
        </w:rPr>
        <w:t xml:space="preserve"> </w:t>
      </w:r>
      <w:r>
        <w:rPr>
          <w:lang w:val="de-DE"/>
        </w:rPr>
        <w:t>Die andere ist die die Furcht vor der Leere, dem Nichts</w:t>
      </w:r>
      <w:r w:rsidR="00724410">
        <w:rPr>
          <w:lang w:val="de-DE"/>
        </w:rPr>
        <w:t>. Kant weiß</w:t>
      </w:r>
      <w:r>
        <w:rPr>
          <w:lang w:val="de-DE"/>
        </w:rPr>
        <w:t>: „vor einer leeren Zeit aber hat das menschliche Gemüt Abscheu, Unmut, Ekel.“</w:t>
      </w:r>
      <w:r>
        <w:rPr>
          <w:rStyle w:val="FootnoteReference"/>
          <w:lang w:val="de-DE"/>
        </w:rPr>
        <w:footnoteReference w:id="33"/>
      </w:r>
      <w:r>
        <w:rPr>
          <w:lang w:val="de-DE"/>
        </w:rPr>
        <w:t xml:space="preserve"> Das Nichttun der Muße erinnere an den Tod: „In der Muße fühlen wir nicht allein, daß uns das Leben so vorbeistreicht, sondern wir fühlen auch so gar eine Leblosigkeit.“</w:t>
      </w:r>
      <w:r w:rsidR="00C23DDF">
        <w:rPr>
          <w:rStyle w:val="FootnoteReference"/>
          <w:lang w:val="de-DE"/>
        </w:rPr>
        <w:footnoteReference w:id="34"/>
      </w:r>
      <w:r>
        <w:rPr>
          <w:lang w:val="de-DE"/>
        </w:rPr>
        <w:t xml:space="preserve"> Ähnlich wie ihm Bild des fließenden Wassers bei Barrow</w:t>
      </w:r>
      <w:r w:rsidR="00724410">
        <w:rPr>
          <w:lang w:val="de-DE"/>
        </w:rPr>
        <w:t>, wo</w:t>
      </w:r>
      <w:r>
        <w:rPr>
          <w:lang w:val="de-DE"/>
        </w:rPr>
        <w:t xml:space="preserve"> der Stillstand der Tod des </w:t>
      </w:r>
      <w:r w:rsidR="00724410">
        <w:rPr>
          <w:lang w:val="de-DE"/>
        </w:rPr>
        <w:t>Le</w:t>
      </w:r>
      <w:r>
        <w:rPr>
          <w:lang w:val="de-DE"/>
        </w:rPr>
        <w:t>ben</w:t>
      </w:r>
      <w:r w:rsidR="00724410">
        <w:rPr>
          <w:lang w:val="de-DE"/>
        </w:rPr>
        <w:t xml:space="preserve"> </w:t>
      </w:r>
      <w:r>
        <w:rPr>
          <w:lang w:val="de-DE"/>
        </w:rPr>
        <w:t>spenden</w:t>
      </w:r>
      <w:r w:rsidR="00724410">
        <w:rPr>
          <w:lang w:val="de-DE"/>
        </w:rPr>
        <w:t>d</w:t>
      </w:r>
      <w:r>
        <w:rPr>
          <w:lang w:val="de-DE"/>
        </w:rPr>
        <w:t xml:space="preserve">en Wassers </w:t>
      </w:r>
      <w:r w:rsidR="00724410">
        <w:rPr>
          <w:lang w:val="de-DE"/>
        </w:rPr>
        <w:t>ist</w:t>
      </w:r>
      <w:r>
        <w:rPr>
          <w:lang w:val="de-DE"/>
        </w:rPr>
        <w:t xml:space="preserve">, ist für Kant das Nichttun mit dem Nichts, dem Tod assoziiert. </w:t>
      </w:r>
    </w:p>
    <w:p w14:paraId="001296C6" w14:textId="77777777" w:rsidR="007D4A60" w:rsidRDefault="007D4A60" w:rsidP="008241D1">
      <w:pPr>
        <w:spacing w:line="360" w:lineRule="auto"/>
        <w:rPr>
          <w:lang w:val="de-DE"/>
        </w:rPr>
      </w:pPr>
    </w:p>
    <w:p w14:paraId="1BB103BE" w14:textId="6D1AC74C" w:rsidR="007D4A60" w:rsidRPr="00E86EB5" w:rsidRDefault="007D4A60" w:rsidP="008241D1">
      <w:pPr>
        <w:spacing w:line="360" w:lineRule="auto"/>
        <w:rPr>
          <w:lang w:val="de-DE"/>
        </w:rPr>
      </w:pPr>
      <w:r>
        <w:rPr>
          <w:lang w:val="de-DE"/>
        </w:rPr>
        <w:t xml:space="preserve">Aus einer anderen Quelle schöpft der Begründer der Lebensphilosophie in Frankreich </w:t>
      </w:r>
      <w:r w:rsidR="00E86EB5">
        <w:rPr>
          <w:lang w:val="de-DE"/>
        </w:rPr>
        <w:t xml:space="preserve">Jean-Marie </w:t>
      </w:r>
      <w:r w:rsidR="00C23DDF" w:rsidRPr="002E5504">
        <w:rPr>
          <w:lang w:val="de-DE"/>
        </w:rPr>
        <w:t xml:space="preserve">Guyau </w:t>
      </w:r>
      <w:r>
        <w:rPr>
          <w:lang w:val="de-DE"/>
        </w:rPr>
        <w:t>sein</w:t>
      </w:r>
      <w:r w:rsidR="009D2505">
        <w:rPr>
          <w:lang w:val="de-DE"/>
        </w:rPr>
        <w:t>en</w:t>
      </w:r>
      <w:r>
        <w:rPr>
          <w:lang w:val="de-DE"/>
        </w:rPr>
        <w:t xml:space="preserve"> Ruf </w:t>
      </w:r>
      <w:r w:rsidRPr="00297723">
        <w:rPr>
          <w:i/>
          <w:lang w:val="de-DE"/>
        </w:rPr>
        <w:t>An die Arbeit!</w:t>
      </w:r>
      <w:r>
        <w:rPr>
          <w:lang w:val="de-DE"/>
        </w:rPr>
        <w:t xml:space="preserve"> Das Leben selbst</w:t>
      </w:r>
      <w:r w:rsidR="00026833">
        <w:rPr>
          <w:lang w:val="de-DE"/>
        </w:rPr>
        <w:t xml:space="preserve"> </w:t>
      </w:r>
      <w:r>
        <w:rPr>
          <w:lang w:val="de-DE"/>
        </w:rPr>
        <w:t xml:space="preserve">ist zur Tat drängende Kraft: „Das beruht auf dem Grundgesetz des Lebens, das uns die Biologie erschlossen hat: </w:t>
      </w:r>
      <w:r w:rsidRPr="00B4615A">
        <w:rPr>
          <w:i/>
          <w:lang w:val="de-DE"/>
        </w:rPr>
        <w:t>Leben heißt nicht nur sich ernähren, sondern auch wirken und Frucht tragen</w:t>
      </w:r>
      <w:r>
        <w:rPr>
          <w:lang w:val="de-DE"/>
        </w:rPr>
        <w:t xml:space="preserve">. Leben heißt ebensosehr </w:t>
      </w:r>
      <w:r w:rsidRPr="00B4615A">
        <w:rPr>
          <w:i/>
          <w:lang w:val="de-DE"/>
        </w:rPr>
        <w:t>ausgeben</w:t>
      </w:r>
      <w:r>
        <w:rPr>
          <w:lang w:val="de-DE"/>
        </w:rPr>
        <w:t xml:space="preserve"> wie </w:t>
      </w:r>
      <w:r w:rsidRPr="00B4615A">
        <w:rPr>
          <w:i/>
          <w:lang w:val="de-DE"/>
        </w:rPr>
        <w:t>einnehmen</w:t>
      </w:r>
      <w:r>
        <w:rPr>
          <w:lang w:val="de-DE"/>
        </w:rPr>
        <w:t>.“</w:t>
      </w:r>
      <w:r>
        <w:rPr>
          <w:rStyle w:val="FootnoteReference"/>
          <w:lang w:val="de-DE"/>
        </w:rPr>
        <w:footnoteReference w:id="35"/>
      </w:r>
      <w:r>
        <w:rPr>
          <w:lang w:val="de-DE"/>
        </w:rPr>
        <w:t xml:space="preserve"> </w:t>
      </w:r>
      <w:r w:rsidR="00026833">
        <w:rPr>
          <w:lang w:val="de-DE"/>
        </w:rPr>
        <w:t xml:space="preserve">Dieses Ausgeben des Lebens ist reine Tätigkeit, das Leben ist zur Tat drängende </w:t>
      </w:r>
      <w:r w:rsidR="00026833">
        <w:rPr>
          <w:lang w:val="de-DE"/>
        </w:rPr>
        <w:lastRenderedPageBreak/>
        <w:t>Kraft.</w:t>
      </w:r>
      <w:r w:rsidR="00026833">
        <w:rPr>
          <w:rStyle w:val="FootnoteReference"/>
          <w:lang w:val="de-DE"/>
        </w:rPr>
        <w:footnoteReference w:id="36"/>
      </w:r>
      <w:r w:rsidR="00026833">
        <w:rPr>
          <w:lang w:val="de-DE"/>
        </w:rPr>
        <w:t xml:space="preserve"> </w:t>
      </w:r>
      <w:r w:rsidRPr="002E5504">
        <w:rPr>
          <w:lang w:val="de-DE"/>
        </w:rPr>
        <w:t>Wie bei Kant ist für Guyau die Langeweile der Todfeind des Menschen, und derjenige, der nicht tätig ist und dabei an der Langeweile kein Übel verspürt, der ist für Guyau ein Verbrecher</w:t>
      </w:r>
      <w:r>
        <w:rPr>
          <w:b/>
          <w:lang w:val="de-DE"/>
        </w:rPr>
        <w:t xml:space="preserve">: </w:t>
      </w:r>
    </w:p>
    <w:p w14:paraId="70E952C8" w14:textId="77777777" w:rsidR="007D4A60" w:rsidRDefault="007D4A60" w:rsidP="007D4A60">
      <w:pPr>
        <w:rPr>
          <w:b/>
          <w:lang w:val="de-DE"/>
        </w:rPr>
      </w:pPr>
    </w:p>
    <w:p w14:paraId="4219BCCA" w14:textId="08A22382" w:rsidR="007D4A60" w:rsidRDefault="007D4A60" w:rsidP="007D4A60">
      <w:pPr>
        <w:rPr>
          <w:lang w:val="de-DE"/>
        </w:rPr>
      </w:pPr>
      <w:r>
        <w:rPr>
          <w:b/>
          <w:lang w:val="de-DE"/>
        </w:rPr>
        <w:t>„</w:t>
      </w:r>
      <w:r>
        <w:rPr>
          <w:lang w:val="de-DE"/>
        </w:rPr>
        <w:t xml:space="preserve">Die </w:t>
      </w:r>
      <w:r w:rsidRPr="00261EB6">
        <w:rPr>
          <w:i/>
          <w:lang w:val="de-DE"/>
        </w:rPr>
        <w:t>Arbeit</w:t>
      </w:r>
      <w:r>
        <w:rPr>
          <w:lang w:val="de-DE"/>
        </w:rPr>
        <w:t xml:space="preserve"> ist durch Aufmerksamkeit, welche sie verlangt, die beständigste und geregeltste Form des Handelns. Der Wilde ist zu wirklicher Arbeit unfähig, um so unfähiger, je tiefer er steht. Die Menschen, die in unserer Gesellschaft die noch lebenden Überreste des früheren Menschen darstellen, – die Verbrecher – haben als unterscheidendes Merkmal fast immer den Abscheu vor der Arbeit. Es ist ihnen nicht langweilig, nichts zu tun; man kann sagen, daß die quälende Langeweile beim Menschen ein Zeichen von Überlegenheit, von energischem Wollen ist.“</w:t>
      </w:r>
      <w:r w:rsidR="00C23DDF">
        <w:rPr>
          <w:rStyle w:val="FootnoteReference"/>
          <w:lang w:val="de-DE"/>
        </w:rPr>
        <w:footnoteReference w:id="37"/>
      </w:r>
      <w:r>
        <w:rPr>
          <w:lang w:val="de-DE"/>
        </w:rPr>
        <w:t xml:space="preserve"> </w:t>
      </w:r>
    </w:p>
    <w:p w14:paraId="7DA55D67" w14:textId="77777777" w:rsidR="007D4A60" w:rsidRDefault="007D4A60" w:rsidP="007D4A60">
      <w:pPr>
        <w:rPr>
          <w:lang w:val="de-DE"/>
        </w:rPr>
      </w:pPr>
    </w:p>
    <w:p w14:paraId="4BFD2391" w14:textId="0586B764" w:rsidR="007D4A60" w:rsidRDefault="007D4A60" w:rsidP="008241D1">
      <w:pPr>
        <w:spacing w:line="360" w:lineRule="auto"/>
        <w:rPr>
          <w:lang w:val="de-DE"/>
        </w:rPr>
      </w:pPr>
      <w:r>
        <w:rPr>
          <w:lang w:val="de-DE"/>
        </w:rPr>
        <w:t>Die Arbeit ist Religion der Menschheit: „ja, die Arbeit ist sogar das wahre Gebet, die wahre menschliche Vorsehung. Laßt uns arbeiten anstatt zu beten.“</w:t>
      </w:r>
      <w:r w:rsidR="00E86EB5">
        <w:rPr>
          <w:rStyle w:val="FootnoteReference"/>
          <w:lang w:val="de-DE"/>
        </w:rPr>
        <w:footnoteReference w:id="38"/>
      </w:r>
    </w:p>
    <w:p w14:paraId="494A41EC" w14:textId="77777777" w:rsidR="007D4A60" w:rsidRDefault="007D4A60" w:rsidP="008241D1">
      <w:pPr>
        <w:spacing w:line="360" w:lineRule="auto"/>
        <w:rPr>
          <w:lang w:val="de-DE"/>
        </w:rPr>
      </w:pPr>
    </w:p>
    <w:p w14:paraId="66F0A182" w14:textId="5773D877" w:rsidR="007D4A60" w:rsidRPr="00C23DDF" w:rsidRDefault="00C23DDF" w:rsidP="008241D1">
      <w:pPr>
        <w:spacing w:line="360" w:lineRule="auto"/>
        <w:rPr>
          <w:lang w:val="de-DE"/>
        </w:rPr>
      </w:pPr>
      <w:r>
        <w:rPr>
          <w:lang w:val="de-DE"/>
        </w:rPr>
        <w:t xml:space="preserve">Auch der Existenzialismus ruft uns zur Tat. </w:t>
      </w:r>
      <w:r w:rsidR="007D4A60">
        <w:rPr>
          <w:lang w:val="de-DE"/>
        </w:rPr>
        <w:t>Nichts scheint Sartre unangenehmer zu sein, als den Existenzialismus in der Nähe des Quietismus verorte</w:t>
      </w:r>
      <w:r w:rsidR="009D2505">
        <w:rPr>
          <w:lang w:val="de-DE"/>
        </w:rPr>
        <w:t>t zu sehen</w:t>
      </w:r>
      <w:r w:rsidR="007D4A60">
        <w:rPr>
          <w:lang w:val="de-DE"/>
        </w:rPr>
        <w:t>, welchen er wie heute allgemein üblich mit Gleichgültigkeit, Passivität, Resignation und Weltflucht</w:t>
      </w:r>
      <w:r w:rsidR="007D4A60">
        <w:rPr>
          <w:rStyle w:val="FootnoteReference"/>
          <w:lang w:val="de-DE"/>
        </w:rPr>
        <w:footnoteReference w:id="39"/>
      </w:r>
      <w:r w:rsidR="007D4A60">
        <w:rPr>
          <w:lang w:val="de-DE"/>
        </w:rPr>
        <w:t xml:space="preserve"> gleichsetzt. Sartre weist es weit von sich, dass der Existenzialismus, welcher davon ausgeh</w:t>
      </w:r>
      <w:r w:rsidR="00E86EB5">
        <w:rPr>
          <w:lang w:val="de-DE"/>
        </w:rPr>
        <w:t>t</w:t>
      </w:r>
      <w:r w:rsidR="007D4A60">
        <w:rPr>
          <w:lang w:val="de-DE"/>
        </w:rPr>
        <w:t xml:space="preserve">, der Mensch finde sich in einem Universum frei von göttlicher Ordnung oder gegebener Sinnhaftigkeit wieder, zur Schlussfolgerung führe, dass sich daraus weder das Tun noch das Lassen rechtfertigen lasse, also beide Folgerungen gleichermaßen gültig und mit dem Existenzialismus vereinbar seien. </w:t>
      </w:r>
      <w:r>
        <w:rPr>
          <w:lang w:val="de-DE"/>
        </w:rPr>
        <w:t>Der Mensch, so Sartre, ist nichts als sein Entwurf, er existiert nur insofern er sich selbst realisiert: er ist nichts anderes als die Summe seiner Handlungen.</w:t>
      </w:r>
      <w:r>
        <w:rPr>
          <w:rStyle w:val="FootnoteReference"/>
          <w:lang w:val="de-DE"/>
        </w:rPr>
        <w:footnoteReference w:id="40"/>
      </w:r>
      <w:r>
        <w:rPr>
          <w:lang w:val="de-DE"/>
        </w:rPr>
        <w:t xml:space="preserve"> Und er wird nicht müde</w:t>
      </w:r>
      <w:r w:rsidR="00E86EB5">
        <w:rPr>
          <w:lang w:val="de-DE"/>
        </w:rPr>
        <w:t xml:space="preserve"> zu versichern</w:t>
      </w:r>
      <w:r>
        <w:rPr>
          <w:lang w:val="de-DE"/>
        </w:rPr>
        <w:t>, dass dies genau das Gegenteil</w:t>
      </w:r>
      <w:r>
        <w:rPr>
          <w:rStyle w:val="FootnoteReference"/>
          <w:lang w:val="de-DE"/>
        </w:rPr>
        <w:footnoteReference w:id="41"/>
      </w:r>
      <w:r>
        <w:rPr>
          <w:lang w:val="de-DE"/>
        </w:rPr>
        <w:t xml:space="preserve"> von Quietismus sei: „</w:t>
      </w:r>
      <w:r w:rsidRPr="00C23DDF">
        <w:rPr>
          <w:lang w:val="de-DE"/>
        </w:rPr>
        <w:t xml:space="preserve">Sie sehen, dass </w:t>
      </w:r>
      <w:r>
        <w:rPr>
          <w:lang w:val="de-DE"/>
        </w:rPr>
        <w:t xml:space="preserve">er [der Existenzialismus; </w:t>
      </w:r>
      <w:r>
        <w:rPr>
          <w:lang w:val="de-DE"/>
        </w:rPr>
        <w:lastRenderedPageBreak/>
        <w:t>F.E.]</w:t>
      </w:r>
      <w:r w:rsidRPr="00C23DDF">
        <w:rPr>
          <w:lang w:val="de-DE"/>
        </w:rPr>
        <w:t xml:space="preserve"> nicht als eine Philosophie des Quietismus betrachtet werden kann, da </w:t>
      </w:r>
      <w:r>
        <w:rPr>
          <w:lang w:val="de-DE"/>
        </w:rPr>
        <w:t>er</w:t>
      </w:r>
      <w:r w:rsidRPr="00C23DDF">
        <w:rPr>
          <w:lang w:val="de-DE"/>
        </w:rPr>
        <w:t xml:space="preserve"> den Menschen durch </w:t>
      </w:r>
      <w:r>
        <w:rPr>
          <w:lang w:val="de-DE"/>
        </w:rPr>
        <w:t xml:space="preserve">das </w:t>
      </w:r>
      <w:r w:rsidRPr="00C23DDF">
        <w:rPr>
          <w:lang w:val="de-DE"/>
        </w:rPr>
        <w:t>Handeln definiert.</w:t>
      </w:r>
      <w:r>
        <w:rPr>
          <w:lang w:val="de-DE"/>
        </w:rPr>
        <w:t>“</w:t>
      </w:r>
      <w:r>
        <w:rPr>
          <w:rStyle w:val="FootnoteReference"/>
          <w:lang w:val="de-DE"/>
        </w:rPr>
        <w:footnoteReference w:id="42"/>
      </w:r>
    </w:p>
    <w:p w14:paraId="3870EA91" w14:textId="77777777" w:rsidR="007D4A60" w:rsidRPr="00C23DDF" w:rsidRDefault="007D4A60" w:rsidP="008241D1">
      <w:pPr>
        <w:spacing w:line="360" w:lineRule="auto"/>
        <w:rPr>
          <w:lang w:val="de-DE"/>
        </w:rPr>
      </w:pPr>
    </w:p>
    <w:p w14:paraId="7AB90457" w14:textId="5ECA1C7E" w:rsidR="00732DE0" w:rsidRDefault="007D4A60" w:rsidP="008241D1">
      <w:pPr>
        <w:spacing w:line="360" w:lineRule="auto"/>
        <w:rPr>
          <w:lang w:val="de-DE"/>
        </w:rPr>
      </w:pPr>
      <w:r w:rsidRPr="00042148">
        <w:rPr>
          <w:lang w:val="de-DE"/>
        </w:rPr>
        <w:t xml:space="preserve">III. </w:t>
      </w:r>
    </w:p>
    <w:p w14:paraId="7307BF3C" w14:textId="58E72024" w:rsidR="007D4A60" w:rsidRDefault="00026833" w:rsidP="008241D1">
      <w:pPr>
        <w:spacing w:line="360" w:lineRule="auto"/>
        <w:rPr>
          <w:lang w:val="de-DE"/>
        </w:rPr>
      </w:pPr>
      <w:r>
        <w:rPr>
          <w:lang w:val="de-DE"/>
        </w:rPr>
        <w:t xml:space="preserve">Mit oder ohne Heilige Schrift, mit oder ohne Gott: </w:t>
      </w:r>
      <w:r w:rsidR="00FC0EF9">
        <w:rPr>
          <w:lang w:val="de-DE"/>
        </w:rPr>
        <w:t>das Heilsversprechen liegt in der Arbeit, der Tätigkeit und Geschäftigkeit. D</w:t>
      </w:r>
      <w:r w:rsidR="007D4A60">
        <w:rPr>
          <w:lang w:val="de-DE"/>
        </w:rPr>
        <w:t xml:space="preserve">ie Folge dieser jahrhundertelangen </w:t>
      </w:r>
      <w:r w:rsidR="00C23DDF">
        <w:rPr>
          <w:lang w:val="de-DE"/>
        </w:rPr>
        <w:t>Ü</w:t>
      </w:r>
      <w:r w:rsidR="007D4A60">
        <w:rPr>
          <w:lang w:val="de-DE"/>
        </w:rPr>
        <w:t xml:space="preserve">berzeugungsarbeit ist </w:t>
      </w:r>
      <w:r w:rsidR="00C23DDF">
        <w:rPr>
          <w:lang w:val="de-DE"/>
        </w:rPr>
        <w:t>bei uns eine tiefe</w:t>
      </w:r>
      <w:r w:rsidR="007D4A60">
        <w:rPr>
          <w:lang w:val="de-DE"/>
        </w:rPr>
        <w:t xml:space="preserve"> Abneigung gegen das Untätigsein</w:t>
      </w:r>
      <w:r w:rsidR="00C23DDF">
        <w:rPr>
          <w:lang w:val="de-DE"/>
        </w:rPr>
        <w:t>. N</w:t>
      </w:r>
      <w:r w:rsidR="007D4A60">
        <w:rPr>
          <w:lang w:val="de-DE"/>
        </w:rPr>
        <w:t xml:space="preserve">ichts </w:t>
      </w:r>
      <w:r w:rsidR="00C23DDF">
        <w:rPr>
          <w:lang w:val="de-DE"/>
        </w:rPr>
        <w:t>fällt</w:t>
      </w:r>
      <w:r w:rsidR="007D4A60">
        <w:rPr>
          <w:lang w:val="de-DE"/>
        </w:rPr>
        <w:t xml:space="preserve"> uns </w:t>
      </w:r>
      <w:r w:rsidR="00C23DDF">
        <w:rPr>
          <w:lang w:val="de-DE"/>
        </w:rPr>
        <w:t>schwerer</w:t>
      </w:r>
      <w:r w:rsidR="007D4A60">
        <w:rPr>
          <w:lang w:val="de-DE"/>
        </w:rPr>
        <w:t xml:space="preserve">, als innezuhalten und uns die Frage vorzulegen, ob </w:t>
      </w:r>
      <w:r w:rsidR="00367775">
        <w:rPr>
          <w:lang w:val="de-DE"/>
        </w:rPr>
        <w:t xml:space="preserve">uns </w:t>
      </w:r>
      <w:r w:rsidR="007D4A60">
        <w:rPr>
          <w:lang w:val="de-DE"/>
        </w:rPr>
        <w:t>das Tätigsein auch wirklich an das gewünschte Ziel zu bringen vermag</w:t>
      </w:r>
      <w:r w:rsidR="00C23DDF">
        <w:rPr>
          <w:lang w:val="de-DE"/>
        </w:rPr>
        <w:t xml:space="preserve"> – </w:t>
      </w:r>
      <w:r w:rsidR="007D4A60">
        <w:rPr>
          <w:lang w:val="de-DE"/>
        </w:rPr>
        <w:t>oder das Ziel selbst in Frage zu stellen. Wir leben in einer Leistungsgesellschaft, und wir können uns das geglückte Leben nicht anders vorstellen, als über die Leistung und den Erfolg (</w:t>
      </w:r>
      <w:r w:rsidR="007D4A60" w:rsidRPr="0082554D">
        <w:rPr>
          <w:i/>
          <w:lang w:val="de-DE"/>
        </w:rPr>
        <w:t>achievement</w:t>
      </w:r>
      <w:r w:rsidR="007D4A60">
        <w:rPr>
          <w:lang w:val="de-DE"/>
        </w:rPr>
        <w:t>) auf den Gipfel der Maslowschen Bedürfnispyramide zur Selbstverwirklichung zu gelangen. Unsere Wissenschaftsgläubigkeit, unsere Technikbegeisterung und unser Fortschrittsoptimismus speisen sich aus der Vorstellung, dass wir jegliches Problem lösen können, wenn wir uns nur frisch ans Werk setzen. Stellvertretend hierfür steht der Faust-Mythos</w:t>
      </w:r>
      <w:r w:rsidR="007D4A60">
        <w:rPr>
          <w:rStyle w:val="FootnoteReference"/>
          <w:lang w:val="de-DE"/>
        </w:rPr>
        <w:footnoteReference w:id="43"/>
      </w:r>
      <w:r w:rsidR="007D4A60">
        <w:rPr>
          <w:lang w:val="de-DE"/>
        </w:rPr>
        <w:t xml:space="preserve">, für den Ulrich Wendt in seiner Studie </w:t>
      </w:r>
      <w:r w:rsidR="007D4A60" w:rsidRPr="0082554D">
        <w:rPr>
          <w:i/>
          <w:lang w:val="de-DE"/>
        </w:rPr>
        <w:t>Die Technik als Kulturmacht in sozialer und geistiger Beziehung</w:t>
      </w:r>
      <w:r w:rsidR="007D4A60">
        <w:rPr>
          <w:lang w:val="de-DE"/>
        </w:rPr>
        <w:t xml:space="preserve"> (1906) beredt Ausdruck gefunden hat: </w:t>
      </w:r>
    </w:p>
    <w:p w14:paraId="0B406127" w14:textId="77777777" w:rsidR="007D4A60" w:rsidRPr="00410E7C" w:rsidRDefault="007D4A60" w:rsidP="007D4A60">
      <w:pPr>
        <w:rPr>
          <w:lang w:val="de-DE"/>
        </w:rPr>
      </w:pPr>
    </w:p>
    <w:p w14:paraId="3FDBCE7D" w14:textId="1AF99D01" w:rsidR="007D4A60" w:rsidRDefault="007D4A60" w:rsidP="007D4A60">
      <w:pPr>
        <w:rPr>
          <w:lang w:val="de-DE"/>
        </w:rPr>
      </w:pPr>
      <w:r>
        <w:rPr>
          <w:lang w:val="de-DE"/>
        </w:rPr>
        <w:t xml:space="preserve">„Der alte Goethe kannte den Wert der mechanischen Arbeit. Als er am Abend seines reichen Lebens den zweiten Teil des Faust zu Ende führt, und die Verheißung erfüllten sollte, dem Faust den Augenblick zu geben, zu dem er sagen werde ‚verweile doch, du bist so schön‘, da wußte er keine bessere Lösung zu geben, als durch die technische Arbeit im Dienste des Volkes. Angeekelt hatte sich Faust abgewandt vom leeren Spekulieren, vom abstrakten Wissen, nach den Brüsten des Lebens sehnte er sich hin. Er durchschweifte das Leben und fand nicht den schönen Augenblick, bis er endlich der praktischen Arbeit sich zuwandte und zum Wohl der Menschheit tätig </w:t>
      </w:r>
      <w:r w:rsidRPr="00EA4865">
        <w:rPr>
          <w:color w:val="000000" w:themeColor="text1"/>
          <w:lang w:val="de-DE"/>
        </w:rPr>
        <w:t>w</w:t>
      </w:r>
      <w:r w:rsidR="00EA4865" w:rsidRPr="00EA4865">
        <w:rPr>
          <w:color w:val="000000" w:themeColor="text1"/>
          <w:lang w:val="de-DE"/>
        </w:rPr>
        <w:t>a</w:t>
      </w:r>
      <w:r w:rsidRPr="00EA4865">
        <w:rPr>
          <w:color w:val="000000" w:themeColor="text1"/>
          <w:lang w:val="de-DE"/>
        </w:rPr>
        <w:t>rd</w:t>
      </w:r>
      <w:r>
        <w:rPr>
          <w:lang w:val="de-DE"/>
        </w:rPr>
        <w:t xml:space="preserve">. Er dämmte das unfruchtbare Meer zurück und gab dem Volk neues Land. Hier sollten Mensch und Tier die Freude des Lebens genießen. Wenn der Sturm die Fluten </w:t>
      </w:r>
      <w:r>
        <w:rPr>
          <w:lang w:val="de-DE"/>
        </w:rPr>
        <w:lastRenderedPageBreak/>
        <w:t>peitscht, und sie gierig lecken an dem Damme, dann eilen Alt und Jung hinaus zum Kampfe gegen die wüste, ungezügelte Kraft der Natur.“</w:t>
      </w:r>
      <w:r w:rsidR="00367775">
        <w:rPr>
          <w:rStyle w:val="FootnoteReference"/>
          <w:lang w:val="de-DE"/>
        </w:rPr>
        <w:footnoteReference w:id="44"/>
      </w:r>
      <w:r>
        <w:rPr>
          <w:lang w:val="de-DE"/>
        </w:rPr>
        <w:t xml:space="preserve"> </w:t>
      </w:r>
    </w:p>
    <w:p w14:paraId="6E8D6986" w14:textId="77777777" w:rsidR="007D4A60" w:rsidRDefault="007D4A60" w:rsidP="008241D1">
      <w:pPr>
        <w:spacing w:line="360" w:lineRule="auto"/>
        <w:rPr>
          <w:lang w:val="de-DE"/>
        </w:rPr>
      </w:pPr>
    </w:p>
    <w:p w14:paraId="42162AE6" w14:textId="77777777" w:rsidR="007D4A60" w:rsidRDefault="007D4A60" w:rsidP="008241D1">
      <w:pPr>
        <w:spacing w:line="360" w:lineRule="auto"/>
        <w:rPr>
          <w:lang w:val="de-DE"/>
        </w:rPr>
      </w:pPr>
      <w:r>
        <w:rPr>
          <w:lang w:val="de-DE"/>
        </w:rPr>
        <w:t xml:space="preserve">Nietzsche bemerkte einmal, man müsse den Deutschen </w:t>
      </w:r>
      <w:proofErr w:type="gramStart"/>
      <w:r>
        <w:rPr>
          <w:lang w:val="de-DE"/>
        </w:rPr>
        <w:t>ihren Faust</w:t>
      </w:r>
      <w:proofErr w:type="gramEnd"/>
      <w:r>
        <w:rPr>
          <w:lang w:val="de-DE"/>
        </w:rPr>
        <w:t xml:space="preserve"> ausreden.</w:t>
      </w:r>
      <w:r>
        <w:rPr>
          <w:rStyle w:val="FootnoteReference"/>
          <w:lang w:val="de-DE"/>
        </w:rPr>
        <w:footnoteReference w:id="45"/>
      </w:r>
      <w:r>
        <w:rPr>
          <w:lang w:val="de-DE"/>
        </w:rPr>
        <w:t xml:space="preserve"> Tolstoi hielt Nietzsche für wahnsinnig</w:t>
      </w:r>
      <w:r>
        <w:rPr>
          <w:rStyle w:val="FootnoteReference"/>
          <w:lang w:val="de-DE"/>
        </w:rPr>
        <w:footnoteReference w:id="46"/>
      </w:r>
      <w:r>
        <w:rPr>
          <w:lang w:val="de-DE"/>
        </w:rPr>
        <w:t>, aber dieser Analyse hätte er ohne Vorbehalt zugestimmt.</w:t>
      </w:r>
    </w:p>
    <w:p w14:paraId="67787EB6" w14:textId="77777777" w:rsidR="007D4A60" w:rsidRDefault="007D4A60" w:rsidP="008241D1">
      <w:pPr>
        <w:spacing w:line="360" w:lineRule="auto"/>
        <w:rPr>
          <w:lang w:val="de-DE"/>
        </w:rPr>
      </w:pPr>
    </w:p>
    <w:p w14:paraId="5A73D7A5" w14:textId="0AB3F853" w:rsidR="00FC16E1" w:rsidRDefault="007D4A60" w:rsidP="008241D1">
      <w:pPr>
        <w:spacing w:line="360" w:lineRule="auto"/>
        <w:rPr>
          <w:lang w:val="de-DE"/>
        </w:rPr>
      </w:pPr>
      <w:r>
        <w:rPr>
          <w:lang w:val="de-DE"/>
        </w:rPr>
        <w:t>IV.</w:t>
      </w:r>
    </w:p>
    <w:p w14:paraId="7ECDC646" w14:textId="6796305C" w:rsidR="00FC16E1" w:rsidRDefault="00E3104B" w:rsidP="008241D1">
      <w:pPr>
        <w:spacing w:line="360" w:lineRule="auto"/>
        <w:rPr>
          <w:lang w:val="de-DE"/>
        </w:rPr>
      </w:pPr>
      <w:r>
        <w:rPr>
          <w:lang w:val="de-DE"/>
        </w:rPr>
        <w:t xml:space="preserve">Anstatt </w:t>
      </w:r>
      <w:r w:rsidR="00267E3E">
        <w:rPr>
          <w:lang w:val="de-DE"/>
        </w:rPr>
        <w:t>Faust und den</w:t>
      </w:r>
      <w:r>
        <w:rPr>
          <w:lang w:val="de-DE"/>
        </w:rPr>
        <w:t xml:space="preserve"> menschlichen Schaffensdrang </w:t>
      </w:r>
      <w:r w:rsidR="00267E3E">
        <w:rPr>
          <w:lang w:val="de-DE"/>
        </w:rPr>
        <w:t>empfiehlt uns</w:t>
      </w:r>
      <w:r>
        <w:rPr>
          <w:lang w:val="de-DE"/>
        </w:rPr>
        <w:t xml:space="preserve"> Tolstoi ein anderes Ideal, den </w:t>
      </w:r>
      <w:r w:rsidR="00732DE0">
        <w:rPr>
          <w:lang w:val="de-DE"/>
        </w:rPr>
        <w:t>t</w:t>
      </w:r>
      <w:r>
        <w:rPr>
          <w:lang w:val="de-DE"/>
        </w:rPr>
        <w:t xml:space="preserve">aoistischen Weisen. </w:t>
      </w:r>
      <w:r w:rsidR="00FC16E1">
        <w:rPr>
          <w:lang w:val="de-DE"/>
        </w:rPr>
        <w:t xml:space="preserve">Tolstois Antwort auf die Vorstellung, die Arbeit sei eine Tugend, ist ein Begriff aus der klassischen chinesischen Philosophie, welchen er dem </w:t>
      </w:r>
      <w:r w:rsidR="0060255F">
        <w:rPr>
          <w:i/>
          <w:lang w:val="de-DE"/>
        </w:rPr>
        <w:t>T</w:t>
      </w:r>
      <w:r w:rsidR="00FC16E1" w:rsidRPr="00E86EB5">
        <w:rPr>
          <w:i/>
          <w:lang w:val="de-DE"/>
        </w:rPr>
        <w:t>ao</w:t>
      </w:r>
      <w:r w:rsidR="00041B9C">
        <w:rPr>
          <w:i/>
          <w:lang w:val="de-DE"/>
        </w:rPr>
        <w:t xml:space="preserve"> </w:t>
      </w:r>
      <w:r w:rsidR="0060255F">
        <w:rPr>
          <w:i/>
          <w:lang w:val="de-DE"/>
        </w:rPr>
        <w:t>T</w:t>
      </w:r>
      <w:r w:rsidR="00FC16E1" w:rsidRPr="00E86EB5">
        <w:rPr>
          <w:i/>
          <w:lang w:val="de-DE"/>
        </w:rPr>
        <w:t>e</w:t>
      </w:r>
      <w:r w:rsidR="00041B9C">
        <w:rPr>
          <w:i/>
          <w:lang w:val="de-DE"/>
        </w:rPr>
        <w:t xml:space="preserve"> </w:t>
      </w:r>
      <w:r w:rsidR="0060255F">
        <w:rPr>
          <w:i/>
          <w:lang w:val="de-DE"/>
        </w:rPr>
        <w:t>K</w:t>
      </w:r>
      <w:r w:rsidR="00FC16E1" w:rsidRPr="00E86EB5">
        <w:rPr>
          <w:i/>
          <w:lang w:val="de-DE"/>
        </w:rPr>
        <w:t>ing</w:t>
      </w:r>
      <w:r w:rsidR="00FC16E1">
        <w:rPr>
          <w:lang w:val="de-DE"/>
        </w:rPr>
        <w:t xml:space="preserve"> des Laotse entn</w:t>
      </w:r>
      <w:r w:rsidR="00732DE0">
        <w:rPr>
          <w:lang w:val="de-DE"/>
        </w:rPr>
        <w:t>ahm</w:t>
      </w:r>
      <w:r w:rsidR="00FC16E1">
        <w:rPr>
          <w:lang w:val="de-DE"/>
        </w:rPr>
        <w:t xml:space="preserve">: </w:t>
      </w:r>
      <w:r w:rsidR="00FC16E1" w:rsidRPr="00367775">
        <w:rPr>
          <w:i/>
          <w:lang w:val="de-DE"/>
        </w:rPr>
        <w:t>wu wei</w:t>
      </w:r>
      <w:r w:rsidR="00FC16E1">
        <w:rPr>
          <w:lang w:val="de-DE"/>
        </w:rPr>
        <w:t xml:space="preserve">. Im </w:t>
      </w:r>
      <w:r w:rsidR="00732DE0">
        <w:rPr>
          <w:lang w:val="de-DE"/>
        </w:rPr>
        <w:t>T</w:t>
      </w:r>
      <w:r w:rsidR="00FC16E1">
        <w:rPr>
          <w:lang w:val="de-DE"/>
        </w:rPr>
        <w:t xml:space="preserve">aoismus steht </w:t>
      </w:r>
      <w:r w:rsidR="00FC16E1" w:rsidRPr="00367775">
        <w:rPr>
          <w:i/>
          <w:lang w:val="de-DE"/>
        </w:rPr>
        <w:t>wu wei</w:t>
      </w:r>
      <w:r w:rsidR="00FC16E1">
        <w:rPr>
          <w:lang w:val="de-DE"/>
        </w:rPr>
        <w:t xml:space="preserve"> für die Vorstellung, das eigene Eingreifen </w:t>
      </w:r>
      <w:r w:rsidR="00E86EB5">
        <w:rPr>
          <w:lang w:val="de-DE"/>
        </w:rPr>
        <w:t xml:space="preserve">in die Welt </w:t>
      </w:r>
      <w:r w:rsidR="00FC16E1">
        <w:rPr>
          <w:lang w:val="de-DE"/>
        </w:rPr>
        <w:t>zurückzunehmen und d</w:t>
      </w:r>
      <w:r w:rsidR="007F724D">
        <w:rPr>
          <w:lang w:val="de-DE"/>
        </w:rPr>
        <w:t>as</w:t>
      </w:r>
      <w:r w:rsidR="00FC16E1">
        <w:rPr>
          <w:lang w:val="de-DE"/>
        </w:rPr>
        <w:t xml:space="preserve"> </w:t>
      </w:r>
      <w:r w:rsidR="00732DE0" w:rsidRPr="00732DE0">
        <w:rPr>
          <w:i/>
          <w:lang w:val="de-DE"/>
        </w:rPr>
        <w:t>T</w:t>
      </w:r>
      <w:r w:rsidR="00FC16E1" w:rsidRPr="00732DE0">
        <w:rPr>
          <w:i/>
          <w:lang w:val="de-DE"/>
        </w:rPr>
        <w:t>ao</w:t>
      </w:r>
      <w:r w:rsidR="00FC16E1">
        <w:rPr>
          <w:lang w:val="de-DE"/>
        </w:rPr>
        <w:t xml:space="preserve"> wirken und geschehen zu lassen. </w:t>
      </w:r>
    </w:p>
    <w:p w14:paraId="583BAEE7" w14:textId="04B1ACA3" w:rsidR="00FC16E1" w:rsidRDefault="00FC16E1" w:rsidP="008241D1">
      <w:pPr>
        <w:spacing w:line="360" w:lineRule="auto"/>
        <w:rPr>
          <w:lang w:val="de-DE"/>
        </w:rPr>
      </w:pPr>
    </w:p>
    <w:p w14:paraId="1E372A7A" w14:textId="70264603" w:rsidR="00FC16E1" w:rsidRDefault="00FC16E1" w:rsidP="008241D1">
      <w:pPr>
        <w:spacing w:line="360" w:lineRule="auto"/>
        <w:rPr>
          <w:lang w:val="de-DE"/>
        </w:rPr>
      </w:pPr>
      <w:r>
        <w:rPr>
          <w:lang w:val="de-DE"/>
        </w:rPr>
        <w:t xml:space="preserve">Im Deutschen </w:t>
      </w:r>
      <w:r w:rsidR="00367775">
        <w:rPr>
          <w:lang w:val="de-DE"/>
        </w:rPr>
        <w:t xml:space="preserve">wurde </w:t>
      </w:r>
      <w:r w:rsidR="00367775" w:rsidRPr="00367775">
        <w:rPr>
          <w:i/>
          <w:lang w:val="de-DE"/>
        </w:rPr>
        <w:t>wu wei</w:t>
      </w:r>
      <w:r w:rsidR="00367775">
        <w:rPr>
          <w:lang w:val="de-DE"/>
        </w:rPr>
        <w:t xml:space="preserve"> unter anderem mit </w:t>
      </w:r>
      <w:r>
        <w:rPr>
          <w:lang w:val="de-DE"/>
        </w:rPr>
        <w:t>Nicht</w:t>
      </w:r>
      <w:r w:rsidR="00B71057">
        <w:rPr>
          <w:lang w:val="de-DE"/>
        </w:rPr>
        <w:t>-T</w:t>
      </w:r>
      <w:r>
        <w:rPr>
          <w:lang w:val="de-DE"/>
        </w:rPr>
        <w:t xml:space="preserve">un, </w:t>
      </w:r>
      <w:r w:rsidR="00127F35">
        <w:rPr>
          <w:lang w:val="de-DE"/>
        </w:rPr>
        <w:t xml:space="preserve">Ohne-Tun, </w:t>
      </w:r>
      <w:r w:rsidR="00B71057">
        <w:rPr>
          <w:lang w:val="de-DE"/>
        </w:rPr>
        <w:t xml:space="preserve">Nicht-Handeln, </w:t>
      </w:r>
      <w:r>
        <w:rPr>
          <w:lang w:val="de-DE"/>
        </w:rPr>
        <w:t>Nicht-Eingreifen</w:t>
      </w:r>
      <w:r w:rsidR="00B71057">
        <w:rPr>
          <w:lang w:val="de-DE"/>
        </w:rPr>
        <w:t>,</w:t>
      </w:r>
      <w:r w:rsidR="00E3104B">
        <w:rPr>
          <w:lang w:val="de-DE"/>
        </w:rPr>
        <w:t xml:space="preserve"> </w:t>
      </w:r>
      <w:r>
        <w:rPr>
          <w:lang w:val="de-DE"/>
        </w:rPr>
        <w:t>Regungslosigkeit</w:t>
      </w:r>
      <w:r w:rsidR="00B71057">
        <w:rPr>
          <w:lang w:val="de-DE"/>
        </w:rPr>
        <w:t>, Inaktivität, Zweckfreiheit, Handlungsenthaltung und Stillstellung des Handelns</w:t>
      </w:r>
      <w:r w:rsidR="00E3104B">
        <w:rPr>
          <w:rStyle w:val="FootnoteReference"/>
          <w:lang w:val="de-DE"/>
        </w:rPr>
        <w:footnoteReference w:id="47"/>
      </w:r>
      <w:r w:rsidR="00367775">
        <w:rPr>
          <w:lang w:val="de-DE"/>
        </w:rPr>
        <w:t xml:space="preserve"> wiedergegeben</w:t>
      </w:r>
      <w:r w:rsidR="00B71057">
        <w:rPr>
          <w:lang w:val="de-DE"/>
        </w:rPr>
        <w:t xml:space="preserve">. Das Prinzip </w:t>
      </w:r>
      <w:r w:rsidR="00B71057" w:rsidRPr="00367775">
        <w:rPr>
          <w:i/>
          <w:lang w:val="de-DE"/>
        </w:rPr>
        <w:t>wu wei</w:t>
      </w:r>
      <w:r w:rsidR="00B71057">
        <w:rPr>
          <w:lang w:val="de-DE"/>
        </w:rPr>
        <w:t xml:space="preserve"> drückt die Opposition menschliches Handeln und kosmisches Geschehen aus</w:t>
      </w:r>
      <w:r w:rsidR="002116AB">
        <w:rPr>
          <w:lang w:val="de-DE"/>
        </w:rPr>
        <w:t>: nur wer sich selbst als Teil der kosmischen Kräfte, als Teil des Universums versteht, und versucht,</w:t>
      </w:r>
      <w:r>
        <w:rPr>
          <w:lang w:val="de-DE"/>
        </w:rPr>
        <w:t xml:space="preserve"> „so vollkommen wie möglich im Einklange mit dem </w:t>
      </w:r>
      <w:r>
        <w:rPr>
          <w:lang w:val="de-DE"/>
        </w:rPr>
        <w:lastRenderedPageBreak/>
        <w:t>unendlichen All zu leben</w:t>
      </w:r>
      <w:r w:rsidR="00367775">
        <w:rPr>
          <w:lang w:val="de-DE"/>
        </w:rPr>
        <w:t>“</w:t>
      </w:r>
      <w:r w:rsidRPr="00655F82">
        <w:rPr>
          <w:rStyle w:val="FootnoteReference"/>
          <w:b/>
          <w:lang w:val="de-DE"/>
        </w:rPr>
        <w:t xml:space="preserve"> </w:t>
      </w:r>
      <w:r>
        <w:rPr>
          <w:rStyle w:val="FootnoteReference"/>
          <w:b/>
          <w:lang w:val="de-DE"/>
        </w:rPr>
        <w:footnoteReference w:id="48"/>
      </w:r>
      <w:r w:rsidR="002116AB">
        <w:rPr>
          <w:lang w:val="de-DE"/>
        </w:rPr>
        <w:t xml:space="preserve">, lebt tugendhaft. </w:t>
      </w:r>
      <w:r>
        <w:rPr>
          <w:lang w:val="de-DE"/>
        </w:rPr>
        <w:t xml:space="preserve">Das </w:t>
      </w:r>
      <w:r w:rsidR="00732DE0" w:rsidRPr="00732DE0">
        <w:rPr>
          <w:i/>
          <w:lang w:val="de-DE"/>
        </w:rPr>
        <w:t>T</w:t>
      </w:r>
      <w:r w:rsidRPr="00732DE0">
        <w:rPr>
          <w:i/>
          <w:lang w:val="de-DE"/>
        </w:rPr>
        <w:t>ao</w:t>
      </w:r>
      <w:r w:rsidR="002116AB">
        <w:rPr>
          <w:lang w:val="de-DE"/>
        </w:rPr>
        <w:t>, der Weg,</w:t>
      </w:r>
      <w:r>
        <w:rPr>
          <w:lang w:val="de-DE"/>
        </w:rPr>
        <w:t xml:space="preserve"> ist die „Weltordnung“</w:t>
      </w:r>
      <w:r w:rsidR="002116AB">
        <w:rPr>
          <w:rStyle w:val="FootnoteReference"/>
          <w:lang w:val="de-DE"/>
        </w:rPr>
        <w:footnoteReference w:id="49"/>
      </w:r>
      <w:r>
        <w:rPr>
          <w:lang w:val="de-DE"/>
        </w:rPr>
        <w:t xml:space="preserve"> und daher gilt es, „daß der Mensch sich und sein Benehmen dem </w:t>
      </w:r>
      <w:r w:rsidRPr="00C144FA">
        <w:rPr>
          <w:i/>
          <w:lang w:val="de-DE"/>
        </w:rPr>
        <w:t>Tao</w:t>
      </w:r>
      <w:r>
        <w:rPr>
          <w:lang w:val="de-DE"/>
        </w:rPr>
        <w:t xml:space="preserve"> des Weltalls und dessen Eigenschaften anpassen soll.“</w:t>
      </w:r>
      <w:r>
        <w:rPr>
          <w:rStyle w:val="FootnoteReference"/>
          <w:lang w:val="de-DE"/>
        </w:rPr>
        <w:footnoteReference w:id="50"/>
      </w:r>
      <w:r>
        <w:rPr>
          <w:lang w:val="de-DE"/>
        </w:rPr>
        <w:t xml:space="preserve"> </w:t>
      </w:r>
      <w:r w:rsidR="002116AB">
        <w:rPr>
          <w:lang w:val="de-DE"/>
        </w:rPr>
        <w:t>Während wir bei dem anglikanischen Theologen Barrow die Vorstellung vorfinden, unsere Bestimmung liege darin, Gott</w:t>
      </w:r>
      <w:r w:rsidR="00367775">
        <w:rPr>
          <w:lang w:val="de-DE"/>
        </w:rPr>
        <w:t>es Schöpfungskraft und -macht</w:t>
      </w:r>
      <w:r w:rsidR="002116AB">
        <w:rPr>
          <w:lang w:val="de-DE"/>
        </w:rPr>
        <w:t xml:space="preserve"> durch </w:t>
      </w:r>
      <w:r w:rsidR="002116AB" w:rsidRPr="002116AB">
        <w:rPr>
          <w:i/>
          <w:lang w:val="de-DE"/>
        </w:rPr>
        <w:t>Schaffen</w:t>
      </w:r>
      <w:r w:rsidR="002116AB">
        <w:rPr>
          <w:lang w:val="de-DE"/>
        </w:rPr>
        <w:t xml:space="preserve"> nachzuahmen, liegt mit </w:t>
      </w:r>
      <w:r w:rsidR="002116AB" w:rsidRPr="00367775">
        <w:rPr>
          <w:i/>
          <w:lang w:val="de-DE"/>
        </w:rPr>
        <w:t>wu wei</w:t>
      </w:r>
      <w:r w:rsidR="002116AB">
        <w:rPr>
          <w:lang w:val="de-DE"/>
        </w:rPr>
        <w:t xml:space="preserve"> die Vorstellung vor, </w:t>
      </w:r>
      <w:r w:rsidR="00367775">
        <w:rPr>
          <w:lang w:val="de-DE"/>
        </w:rPr>
        <w:t xml:space="preserve">sich </w:t>
      </w:r>
      <w:r w:rsidR="002116AB">
        <w:rPr>
          <w:lang w:val="de-DE"/>
        </w:rPr>
        <w:t xml:space="preserve">durch Sich-Enthalten zu öffnen für </w:t>
      </w:r>
      <w:r w:rsidR="00056EF3">
        <w:rPr>
          <w:lang w:val="de-DE"/>
        </w:rPr>
        <w:t xml:space="preserve">das </w:t>
      </w:r>
      <w:r w:rsidR="002116AB">
        <w:rPr>
          <w:lang w:val="de-DE"/>
        </w:rPr>
        <w:t>„Wirkenlassen des ‚Weges‘ in der eigenen Persönlichkeit.“</w:t>
      </w:r>
      <w:r w:rsidR="00056EF3">
        <w:rPr>
          <w:rStyle w:val="FootnoteReference"/>
          <w:lang w:val="de-DE"/>
        </w:rPr>
        <w:footnoteReference w:id="51"/>
      </w:r>
      <w:r w:rsidR="002116AB">
        <w:rPr>
          <w:lang w:val="de-DE"/>
        </w:rPr>
        <w:t xml:space="preserve"> </w:t>
      </w:r>
    </w:p>
    <w:p w14:paraId="7C12B27D" w14:textId="77777777" w:rsidR="002116AB" w:rsidRDefault="002116AB" w:rsidP="008241D1">
      <w:pPr>
        <w:spacing w:line="360" w:lineRule="auto"/>
        <w:rPr>
          <w:lang w:val="de-DE"/>
        </w:rPr>
      </w:pPr>
    </w:p>
    <w:p w14:paraId="30FFCD4D" w14:textId="5245F807" w:rsidR="00FC16E1" w:rsidRPr="00925DB3" w:rsidRDefault="00056EF3" w:rsidP="008241D1">
      <w:pPr>
        <w:spacing w:line="360" w:lineRule="auto"/>
        <w:rPr>
          <w:lang w:val="de-DE"/>
        </w:rPr>
      </w:pPr>
      <w:r>
        <w:rPr>
          <w:lang w:val="de-DE"/>
        </w:rPr>
        <w:t xml:space="preserve">Das Nichttun zu praktizieren, wie es der </w:t>
      </w:r>
      <w:r w:rsidR="00732DE0">
        <w:rPr>
          <w:lang w:val="de-DE"/>
        </w:rPr>
        <w:t>t</w:t>
      </w:r>
      <w:r>
        <w:rPr>
          <w:lang w:val="de-DE"/>
        </w:rPr>
        <w:t xml:space="preserve">aoistische Weise tut, ist kein Nichtstun, keine mystische Schau oder Aristotelische </w:t>
      </w:r>
      <w:r w:rsidRPr="00056EF3">
        <w:rPr>
          <w:i/>
          <w:lang w:val="de-DE"/>
        </w:rPr>
        <w:t>theoria</w:t>
      </w:r>
      <w:r>
        <w:rPr>
          <w:lang w:val="de-DE"/>
        </w:rPr>
        <w:t xml:space="preserve">, sondern die </w:t>
      </w:r>
      <w:r w:rsidR="00367775">
        <w:rPr>
          <w:lang w:val="de-DE"/>
        </w:rPr>
        <w:t>Aufforderung</w:t>
      </w:r>
      <w:r>
        <w:rPr>
          <w:lang w:val="de-DE"/>
        </w:rPr>
        <w:t xml:space="preserve">, das zu tun, was notwendig ist, und zu unterlassen, was nicht getan werden muss. Es ist die Einsicht, dass menschliche Intervention </w:t>
      </w:r>
      <w:r w:rsidR="00367775">
        <w:rPr>
          <w:lang w:val="de-DE"/>
        </w:rPr>
        <w:t xml:space="preserve">unser Leben </w:t>
      </w:r>
      <w:r>
        <w:rPr>
          <w:lang w:val="de-DE"/>
        </w:rPr>
        <w:t>nicht immer besser, sondern oft genug schlechter</w:t>
      </w:r>
      <w:r w:rsidR="00367775">
        <w:rPr>
          <w:lang w:val="de-DE"/>
        </w:rPr>
        <w:t xml:space="preserve"> macht</w:t>
      </w:r>
      <w:r>
        <w:rPr>
          <w:lang w:val="de-DE"/>
        </w:rPr>
        <w:t xml:space="preserve">. Es ist das </w:t>
      </w:r>
      <w:r w:rsidR="00E3104B">
        <w:rPr>
          <w:lang w:val="de-DE"/>
        </w:rPr>
        <w:t xml:space="preserve">Gewährenlassen des Wirkens eines höheren Prinzips. </w:t>
      </w:r>
      <w:r w:rsidR="00732DE0" w:rsidRPr="007D1552">
        <w:rPr>
          <w:highlight w:val="red"/>
          <w:lang w:val="de-DE"/>
        </w:rPr>
        <w:t>Da</w:t>
      </w:r>
      <w:r w:rsidR="007D1552" w:rsidRPr="007D1552">
        <w:rPr>
          <w:highlight w:val="red"/>
          <w:lang w:val="de-DE"/>
        </w:rPr>
        <w:t>s</w:t>
      </w:r>
      <w:r w:rsidR="00732DE0" w:rsidRPr="007D1552">
        <w:rPr>
          <w:highlight w:val="red"/>
          <w:lang w:val="de-DE"/>
        </w:rPr>
        <w:t>s</w:t>
      </w:r>
      <w:r w:rsidR="00732DE0">
        <w:rPr>
          <w:lang w:val="de-DE"/>
        </w:rPr>
        <w:t xml:space="preserve"> dies nicht bedeutet, im Lotussitz auf Erleuchtung zu warten, macht der Japaner Masanobu Fukuoka klar, der die </w:t>
      </w:r>
      <w:r w:rsidR="00732DE0" w:rsidRPr="00732DE0">
        <w:rPr>
          <w:i/>
          <w:lang w:val="de-DE"/>
        </w:rPr>
        <w:t>wu-wei</w:t>
      </w:r>
      <w:r w:rsidR="00732DE0">
        <w:rPr>
          <w:lang w:val="de-DE"/>
        </w:rPr>
        <w:t>-Methode erfolgreich auf die Landwirtschaft angewandt hat. Diese Form der Landwirtschaft hat er selbst die</w:t>
      </w:r>
      <w:r w:rsidR="00FC16E1">
        <w:rPr>
          <w:lang w:val="de-DE"/>
        </w:rPr>
        <w:t xml:space="preserve"> „Nichts-Tun-Landwirtschaft“</w:t>
      </w:r>
      <w:r w:rsidR="00FC16E1">
        <w:rPr>
          <w:rStyle w:val="FootnoteReference"/>
          <w:lang w:val="de-DE"/>
        </w:rPr>
        <w:footnoteReference w:id="52"/>
      </w:r>
      <w:r>
        <w:rPr>
          <w:lang w:val="de-DE"/>
        </w:rPr>
        <w:t xml:space="preserve"> </w:t>
      </w:r>
      <w:r w:rsidR="00732DE0">
        <w:rPr>
          <w:lang w:val="de-DE"/>
        </w:rPr>
        <w:t>genannt und folgendermaßen charakterisiert</w:t>
      </w:r>
      <w:r w:rsidR="00870EE8">
        <w:rPr>
          <w:lang w:val="de-DE"/>
        </w:rPr>
        <w:t xml:space="preserve">: </w:t>
      </w:r>
    </w:p>
    <w:p w14:paraId="6073D1DF" w14:textId="77777777" w:rsidR="00FC16E1" w:rsidRDefault="00FC16E1" w:rsidP="00FC16E1">
      <w:pPr>
        <w:spacing w:line="360" w:lineRule="auto"/>
        <w:rPr>
          <w:b/>
          <w:lang w:val="de-DE"/>
        </w:rPr>
      </w:pPr>
    </w:p>
    <w:p w14:paraId="05DA1827" w14:textId="7D89A949" w:rsidR="00FC16E1" w:rsidRDefault="00FC16E1" w:rsidP="00FC16E1">
      <w:pPr>
        <w:rPr>
          <w:lang w:val="de-DE"/>
        </w:rPr>
      </w:pPr>
      <w:r>
        <w:rPr>
          <w:lang w:val="de-DE"/>
        </w:rPr>
        <w:t>„Der übliche Weg, eine Methode zu entwickeln, ist, zu fragen: „Wie wäre es, dies zu probieren?“ oder: „Warum nicht einmal jenes versuchen?“ und nacheinander eine Vielzahl von Techniken einzuführen. Das ist moderne Landwirtschaft, sie führt nur dazu, den Bauern mehr zu beschäftigen.</w:t>
      </w:r>
    </w:p>
    <w:p w14:paraId="1ADD4E10" w14:textId="51904B94" w:rsidR="00FC16E1" w:rsidRDefault="00FC16E1" w:rsidP="00FC16E1">
      <w:pPr>
        <w:rPr>
          <w:lang w:val="de-DE"/>
        </w:rPr>
      </w:pPr>
      <w:r>
        <w:rPr>
          <w:lang w:val="de-DE"/>
        </w:rPr>
        <w:t xml:space="preserve">Mein Weg war entgegengesetzt. Ich zielte auf eine angenehme, natürliche Anbauweise, die darin resultieren sollte, die Arbeit leichter statt schwerer zu machen. Ich zielte auf einen Anbau, so einfach wie möglich, innerhalb und in Zusammenhängen mit der natürlichen Umwelt – entgegen der modernen Einstellung, in wachsendem Maße komplexe Technologien anzuwenden, um die Natur vollständig zum Wohle des Menschen umzuformen. </w:t>
      </w:r>
    </w:p>
    <w:p w14:paraId="370870A3" w14:textId="6A589DFD" w:rsidR="00FC16E1" w:rsidRDefault="00FC16E1" w:rsidP="00FC16E1">
      <w:pPr>
        <w:rPr>
          <w:lang w:val="de-DE"/>
        </w:rPr>
      </w:pPr>
      <w:r>
        <w:rPr>
          <w:lang w:val="de-DE"/>
        </w:rPr>
        <w:t xml:space="preserve">„Wie wäre es, dies nicht zu tun? Warum jenes nicht unterlassen?“ – das war meine Art des Denkens. Letztendlich kam ich zu der Erkenntnis, dass es unnötig ist, zu pflügen; unnötig, </w:t>
      </w:r>
      <w:r>
        <w:rPr>
          <w:lang w:val="de-DE"/>
        </w:rPr>
        <w:lastRenderedPageBreak/>
        <w:t>Dünger zu verwenden; unnötig, Kompost zu bereiten; unnötig, Insektizide einzusetzen. Im Grunde genommen gibt es wenige landwirtschaftliche Praktiken, die wirklich nötig sind.“</w:t>
      </w:r>
      <w:r w:rsidR="00367775">
        <w:rPr>
          <w:rStyle w:val="FootnoteReference"/>
          <w:lang w:val="de-DE"/>
        </w:rPr>
        <w:footnoteReference w:id="53"/>
      </w:r>
      <w:r>
        <w:rPr>
          <w:lang w:val="de-DE"/>
        </w:rPr>
        <w:t xml:space="preserve"> </w:t>
      </w:r>
    </w:p>
    <w:p w14:paraId="2F389F17" w14:textId="11765ADF" w:rsidR="00FC16E1" w:rsidRDefault="00FC16E1" w:rsidP="00042148">
      <w:pPr>
        <w:rPr>
          <w:lang w:val="de-DE"/>
        </w:rPr>
      </w:pPr>
    </w:p>
    <w:p w14:paraId="50AD8B91" w14:textId="5674258C" w:rsidR="00573A8E" w:rsidRDefault="008E7560" w:rsidP="008241D1">
      <w:pPr>
        <w:spacing w:line="360" w:lineRule="auto"/>
        <w:rPr>
          <w:lang w:val="de-DE"/>
        </w:rPr>
      </w:pPr>
      <w:r>
        <w:rPr>
          <w:lang w:val="de-DE"/>
        </w:rPr>
        <w:t xml:space="preserve">Für uns ist das schwer zu begreifen, denn wir sind </w:t>
      </w:r>
      <w:r w:rsidR="00870EE8" w:rsidRPr="00870EE8">
        <w:rPr>
          <w:i/>
          <w:lang w:val="de-DE"/>
        </w:rPr>
        <w:t>handlungszentriert</w:t>
      </w:r>
      <w:r>
        <w:rPr>
          <w:lang w:val="de-DE"/>
        </w:rPr>
        <w:t xml:space="preserve"> </w:t>
      </w:r>
      <w:r w:rsidR="00870EE8">
        <w:rPr>
          <w:lang w:val="de-DE"/>
        </w:rPr>
        <w:t>geprägt: sich regen, bringt Segen; ohne Fleiß, kein Preis</w:t>
      </w:r>
      <w:r w:rsidR="00870EE8">
        <w:rPr>
          <w:rStyle w:val="FootnoteReference"/>
          <w:lang w:val="de-DE"/>
        </w:rPr>
        <w:footnoteReference w:id="54"/>
      </w:r>
      <w:r w:rsidR="00DF3E32">
        <w:rPr>
          <w:lang w:val="de-DE"/>
        </w:rPr>
        <w:t xml:space="preserve">, etc. Für den </w:t>
      </w:r>
      <w:r w:rsidR="00732DE0">
        <w:rPr>
          <w:lang w:val="de-DE"/>
        </w:rPr>
        <w:t>t</w:t>
      </w:r>
      <w:r w:rsidR="00DF3E32">
        <w:rPr>
          <w:lang w:val="de-DE"/>
        </w:rPr>
        <w:t xml:space="preserve">aoistischen Weisen </w:t>
      </w:r>
      <w:r w:rsidR="00573A8E">
        <w:rPr>
          <w:lang w:val="de-DE"/>
        </w:rPr>
        <w:t xml:space="preserve">hingegen dreht sich das Bild Barrows vom Leistungsverweigerer und Faulpelz um: nicht die Untätigkeit hemmt den göttlichen Fluss, sondern die menschliche Intervention. Das Nichttun allein vermag die kosmischen Kräfte zum Strömen zu bringen. Es ist das Zuviel an menschlicher Tätigkeit und Geschäftigkeit, welche die Welt verstopft und in eine Lache verwandelt. </w:t>
      </w:r>
    </w:p>
    <w:p w14:paraId="46714C5C" w14:textId="0C2F2DF5" w:rsidR="00432403" w:rsidRDefault="00432403" w:rsidP="008241D1">
      <w:pPr>
        <w:spacing w:line="360" w:lineRule="auto"/>
        <w:rPr>
          <w:lang w:val="de-DE"/>
        </w:rPr>
      </w:pPr>
    </w:p>
    <w:p w14:paraId="32C4137B" w14:textId="354A46DE" w:rsidR="00573A8E" w:rsidRDefault="00573A8E" w:rsidP="008241D1">
      <w:pPr>
        <w:spacing w:line="360" w:lineRule="auto"/>
        <w:rPr>
          <w:lang w:val="de-DE"/>
        </w:rPr>
      </w:pPr>
      <w:r>
        <w:rPr>
          <w:lang w:val="de-DE"/>
        </w:rPr>
        <w:t xml:space="preserve">V. </w:t>
      </w:r>
    </w:p>
    <w:p w14:paraId="208F30C1" w14:textId="3FAD98E9" w:rsidR="00E3104B" w:rsidRDefault="00FA6984" w:rsidP="008241D1">
      <w:pPr>
        <w:spacing w:line="360" w:lineRule="auto"/>
        <w:rPr>
          <w:lang w:val="de-DE"/>
        </w:rPr>
      </w:pPr>
      <w:r>
        <w:rPr>
          <w:lang w:val="de-DE"/>
        </w:rPr>
        <w:t xml:space="preserve">Was Zola </w:t>
      </w:r>
      <w:r w:rsidR="00573A8E">
        <w:rPr>
          <w:lang w:val="de-DE"/>
        </w:rPr>
        <w:t>zu Tolstois Plädoyer für das Nichttun</w:t>
      </w:r>
      <w:r>
        <w:rPr>
          <w:lang w:val="de-DE"/>
        </w:rPr>
        <w:t xml:space="preserve"> gesagt hat? </w:t>
      </w:r>
      <w:r w:rsidR="007D4A60">
        <w:rPr>
          <w:lang w:val="de-DE"/>
        </w:rPr>
        <w:t xml:space="preserve">Er hat sich davon </w:t>
      </w:r>
      <w:r w:rsidR="00432403">
        <w:rPr>
          <w:lang w:val="de-DE"/>
        </w:rPr>
        <w:t xml:space="preserve">wenig beeindrucken lassen. Eines seiner Werke aus dem utopischen Spätwerk, dem Zyklus </w:t>
      </w:r>
      <w:r w:rsidR="00432403">
        <w:rPr>
          <w:i/>
          <w:lang w:val="de-DE"/>
        </w:rPr>
        <w:t>Die vier Evangelien</w:t>
      </w:r>
      <w:r w:rsidR="00432403">
        <w:rPr>
          <w:lang w:val="de-DE"/>
        </w:rPr>
        <w:t xml:space="preserve">, trägt den Titel </w:t>
      </w:r>
      <w:r w:rsidR="00432403" w:rsidRPr="00D602ED">
        <w:rPr>
          <w:i/>
          <w:lang w:val="de-DE"/>
        </w:rPr>
        <w:t>Arbeit</w:t>
      </w:r>
      <w:r w:rsidR="00432403">
        <w:rPr>
          <w:lang w:val="de-DE"/>
        </w:rPr>
        <w:t xml:space="preserve">. </w:t>
      </w:r>
      <w:r w:rsidR="00EA4865">
        <w:rPr>
          <w:lang w:val="de-DE"/>
        </w:rPr>
        <w:t>Dort heißt es</w:t>
      </w:r>
      <w:r w:rsidR="00056A57">
        <w:rPr>
          <w:lang w:val="de-DE"/>
        </w:rPr>
        <w:t xml:space="preserve">, als Reprise auf die </w:t>
      </w:r>
      <w:r w:rsidR="00573A8E">
        <w:rPr>
          <w:lang w:val="de-DE"/>
        </w:rPr>
        <w:t xml:space="preserve">frühere </w:t>
      </w:r>
      <w:r w:rsidR="00056A57">
        <w:rPr>
          <w:lang w:val="de-DE"/>
        </w:rPr>
        <w:t>„Rede an die Jugend“</w:t>
      </w:r>
      <w:r w:rsidR="00EA4865">
        <w:rPr>
          <w:lang w:val="de-DE"/>
        </w:rPr>
        <w:t>: „Es ist kein Glück denkbar, wenn wir es nicht im gemeinschaftlichen Glück der ewigen, gemeinsamen Arbeit suchen. Und daher möchte ich, daß endlich die Religion der Arbeit zur Menschenreligion werde, daß wir Hosianna singen der erlösenden Arbeit“</w:t>
      </w:r>
      <w:r w:rsidR="00EA4865">
        <w:rPr>
          <w:rStyle w:val="FootnoteReference"/>
          <w:lang w:val="de-DE"/>
        </w:rPr>
        <w:footnoteReference w:id="55"/>
      </w:r>
      <w:r w:rsidR="00EA4865">
        <w:rPr>
          <w:lang w:val="de-DE"/>
        </w:rPr>
        <w:t xml:space="preserve">. </w:t>
      </w:r>
      <w:r w:rsidR="001875E3">
        <w:rPr>
          <w:lang w:val="de-DE"/>
        </w:rPr>
        <w:t>Die Wissenschaft w</w:t>
      </w:r>
      <w:r w:rsidR="005D3791">
        <w:rPr>
          <w:lang w:val="de-DE"/>
        </w:rPr>
        <w:t>erde</w:t>
      </w:r>
      <w:r w:rsidR="001875E3">
        <w:rPr>
          <w:lang w:val="de-DE"/>
        </w:rPr>
        <w:t xml:space="preserve"> die „Befreiung der Menschen“</w:t>
      </w:r>
      <w:r w:rsidR="001875E3">
        <w:rPr>
          <w:rStyle w:val="FootnoteReference"/>
          <w:lang w:val="de-DE"/>
        </w:rPr>
        <w:footnoteReference w:id="56"/>
      </w:r>
      <w:r w:rsidR="001875E3">
        <w:rPr>
          <w:lang w:val="de-DE"/>
        </w:rPr>
        <w:t xml:space="preserve"> vollziehen</w:t>
      </w:r>
      <w:r w:rsidR="00056A57">
        <w:rPr>
          <w:lang w:val="de-DE"/>
        </w:rPr>
        <w:t xml:space="preserve">; das Neue im Roman </w:t>
      </w:r>
      <w:r w:rsidR="00056A57" w:rsidRPr="00056A57">
        <w:rPr>
          <w:i/>
          <w:lang w:val="de-DE"/>
        </w:rPr>
        <w:t>Arbeit</w:t>
      </w:r>
      <w:r w:rsidR="00056A57">
        <w:rPr>
          <w:lang w:val="de-DE"/>
        </w:rPr>
        <w:t xml:space="preserve"> ist d</w:t>
      </w:r>
      <w:r w:rsidR="0004221F">
        <w:rPr>
          <w:lang w:val="de-DE"/>
        </w:rPr>
        <w:t xml:space="preserve">ie Rolle </w:t>
      </w:r>
      <w:r w:rsidR="00056A57">
        <w:rPr>
          <w:lang w:val="de-DE"/>
        </w:rPr>
        <w:t xml:space="preserve">der heilsversprechenden </w:t>
      </w:r>
      <w:r w:rsidR="001875E3">
        <w:rPr>
          <w:lang w:val="de-DE"/>
        </w:rPr>
        <w:t>Technik, allen voran d</w:t>
      </w:r>
      <w:r w:rsidR="00615747">
        <w:rPr>
          <w:lang w:val="de-DE"/>
        </w:rPr>
        <w:t>er</w:t>
      </w:r>
      <w:r w:rsidR="001875E3">
        <w:rPr>
          <w:lang w:val="de-DE"/>
        </w:rPr>
        <w:t xml:space="preserve"> Elektrizität.</w:t>
      </w:r>
      <w:r w:rsidR="00091143">
        <w:rPr>
          <w:rStyle w:val="FootnoteReference"/>
          <w:lang w:val="de-DE"/>
        </w:rPr>
        <w:footnoteReference w:id="57"/>
      </w:r>
      <w:r w:rsidR="001875E3">
        <w:rPr>
          <w:lang w:val="de-DE"/>
        </w:rPr>
        <w:t xml:space="preserve"> </w:t>
      </w:r>
    </w:p>
    <w:p w14:paraId="00A2C6A6" w14:textId="2AEAF416" w:rsidR="00615747" w:rsidRDefault="00615747" w:rsidP="008241D1">
      <w:pPr>
        <w:spacing w:line="360" w:lineRule="auto"/>
        <w:rPr>
          <w:lang w:val="de-DE"/>
        </w:rPr>
      </w:pPr>
    </w:p>
    <w:p w14:paraId="6F2EE5D6" w14:textId="4A022F59" w:rsidR="00656C6F" w:rsidRPr="00CC2D5F" w:rsidRDefault="0004221F" w:rsidP="008241D1">
      <w:pPr>
        <w:spacing w:line="360" w:lineRule="auto"/>
        <w:rPr>
          <w:lang w:val="de-DE"/>
        </w:rPr>
      </w:pPr>
      <w:r>
        <w:rPr>
          <w:lang w:val="de-DE"/>
        </w:rPr>
        <w:t>Zola ist nicht nur ein klassischer Lobredner der Arbeit, er ist auch ein klassischer Vertreter des Baconschen Zeitalters</w:t>
      </w:r>
      <w:r>
        <w:rPr>
          <w:rStyle w:val="FootnoteReference"/>
          <w:lang w:val="de-DE"/>
        </w:rPr>
        <w:footnoteReference w:id="58"/>
      </w:r>
      <w:r>
        <w:rPr>
          <w:lang w:val="de-DE"/>
        </w:rPr>
        <w:t>. Dieses lässt sich durch die Vorstellung charakterisieren, dass „wissenschaftlicher und technischer Fortschritt zugleich humaner Fortschritt sei“</w:t>
      </w:r>
      <w:r>
        <w:rPr>
          <w:rStyle w:val="FootnoteReference"/>
          <w:lang w:val="de-DE"/>
        </w:rPr>
        <w:footnoteReference w:id="59"/>
      </w:r>
      <w:r w:rsidR="0021062E">
        <w:rPr>
          <w:lang w:val="de-DE"/>
        </w:rPr>
        <w:t xml:space="preserve">. Tolstoi hat </w:t>
      </w:r>
      <w:r w:rsidR="0021062E">
        <w:rPr>
          <w:lang w:val="de-DE"/>
        </w:rPr>
        <w:lastRenderedPageBreak/>
        <w:t xml:space="preserve">diese Gleichung stets in Zweifel gezogen, denn er </w:t>
      </w:r>
      <w:r w:rsidR="00656C6F">
        <w:rPr>
          <w:lang w:val="de-DE"/>
        </w:rPr>
        <w:t>war davon überzeugt, dass die Lage der Menschheit nur verbessert werden kann, wenn die Menschen sich ändern.</w:t>
      </w:r>
      <w:r w:rsidR="00656C6F">
        <w:rPr>
          <w:rStyle w:val="FootnoteReference"/>
          <w:lang w:val="de-DE"/>
        </w:rPr>
        <w:footnoteReference w:id="60"/>
      </w:r>
      <w:r w:rsidR="00656C6F">
        <w:rPr>
          <w:lang w:val="de-DE"/>
        </w:rPr>
        <w:t xml:space="preserve"> Der notwendige Wandel kommt nicht durch wissenschaftliche und technische Innovationen</w:t>
      </w:r>
      <w:r w:rsidR="00656C6F">
        <w:rPr>
          <w:rStyle w:val="FootnoteReference"/>
          <w:lang w:val="de-DE"/>
        </w:rPr>
        <w:footnoteReference w:id="61"/>
      </w:r>
      <w:r w:rsidR="00167363">
        <w:rPr>
          <w:lang w:val="de-DE"/>
        </w:rPr>
        <w:t xml:space="preserve"> und </w:t>
      </w:r>
      <w:r w:rsidR="00076865">
        <w:rPr>
          <w:lang w:val="de-DE"/>
        </w:rPr>
        <w:t xml:space="preserve">er kommt </w:t>
      </w:r>
      <w:r w:rsidR="00167363">
        <w:rPr>
          <w:lang w:val="de-DE"/>
        </w:rPr>
        <w:t>auch nicht mit der Steigerung des Bruttosozialproduktes</w:t>
      </w:r>
      <w:r w:rsidR="00656C6F">
        <w:rPr>
          <w:lang w:val="de-DE"/>
        </w:rPr>
        <w:t xml:space="preserve">, sondern allein durch eine veränderte Einstellung zu </w:t>
      </w:r>
      <w:r w:rsidR="00E767C6">
        <w:rPr>
          <w:lang w:val="de-DE"/>
        </w:rPr>
        <w:t>sich</w:t>
      </w:r>
      <w:r w:rsidR="00656C6F">
        <w:rPr>
          <w:lang w:val="de-DE"/>
        </w:rPr>
        <w:t xml:space="preserve"> selbst, </w:t>
      </w:r>
      <w:r w:rsidR="00E767C6">
        <w:rPr>
          <w:lang w:val="de-DE"/>
        </w:rPr>
        <w:t>den</w:t>
      </w:r>
      <w:r w:rsidR="00656C6F">
        <w:rPr>
          <w:lang w:val="de-DE"/>
        </w:rPr>
        <w:t xml:space="preserve"> Mitmenschen und </w:t>
      </w:r>
      <w:r w:rsidR="00FC0EF9">
        <w:rPr>
          <w:lang w:val="de-DE"/>
        </w:rPr>
        <w:t>zur</w:t>
      </w:r>
      <w:r w:rsidR="00656C6F">
        <w:rPr>
          <w:lang w:val="de-DE"/>
        </w:rPr>
        <w:t xml:space="preserve"> Welt: „Das Gewissen des Menschen läßt sich nicht mehr durch neue Entdeckungen beschwichtigen, es kann nur noch durch eine völlige Aenderung [sic; F.E.] unseres Lebens beruhigt werden, die so beschaffen sein muß, daß es in keiner Beziehung irgend einer Rechtfertigung mehr bedarf.“</w:t>
      </w:r>
      <w:r w:rsidR="00656C6F">
        <w:rPr>
          <w:rStyle w:val="FootnoteReference"/>
          <w:lang w:val="de-DE"/>
        </w:rPr>
        <w:footnoteReference w:id="62"/>
      </w:r>
      <w:r w:rsidR="00656C6F">
        <w:rPr>
          <w:lang w:val="de-DE"/>
        </w:rPr>
        <w:t xml:space="preserve"> </w:t>
      </w:r>
      <w:r w:rsidR="00FC0EF9">
        <w:rPr>
          <w:lang w:val="de-DE"/>
        </w:rPr>
        <w:t xml:space="preserve">Ob wir, die </w:t>
      </w:r>
      <w:r w:rsidR="00E767C6">
        <w:rPr>
          <w:lang w:val="de-DE"/>
        </w:rPr>
        <w:t>Putzmunter</w:t>
      </w:r>
      <w:r w:rsidR="00FC0EF9">
        <w:rPr>
          <w:lang w:val="de-DE"/>
        </w:rPr>
        <w:t xml:space="preserve">en, uns jemals davon überzeugen lassen werden? </w:t>
      </w:r>
    </w:p>
    <w:sectPr w:rsidR="00656C6F" w:rsidRPr="00CC2D5F"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5FA15" w14:textId="77777777" w:rsidR="004C31EC" w:rsidRDefault="004C31EC" w:rsidP="00292733">
      <w:r>
        <w:separator/>
      </w:r>
    </w:p>
  </w:endnote>
  <w:endnote w:type="continuationSeparator" w:id="0">
    <w:p w14:paraId="0562D431" w14:textId="77777777" w:rsidR="004C31EC" w:rsidRDefault="004C31EC" w:rsidP="0029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7508C" w14:textId="77777777" w:rsidR="004C31EC" w:rsidRDefault="004C31EC" w:rsidP="00292733">
      <w:r>
        <w:separator/>
      </w:r>
    </w:p>
  </w:footnote>
  <w:footnote w:type="continuationSeparator" w:id="0">
    <w:p w14:paraId="42C91959" w14:textId="77777777" w:rsidR="004C31EC" w:rsidRDefault="004C31EC" w:rsidP="00292733">
      <w:r>
        <w:continuationSeparator/>
      </w:r>
    </w:p>
  </w:footnote>
  <w:footnote w:id="1">
    <w:p w14:paraId="64B9DB11" w14:textId="6C805126" w:rsidR="002C5172" w:rsidRPr="009E5707" w:rsidRDefault="002C5172">
      <w:pPr>
        <w:pStyle w:val="FootnoteText"/>
        <w:rPr>
          <w:lang w:val="de-DE"/>
        </w:rPr>
      </w:pPr>
      <w:r w:rsidRPr="009E5707">
        <w:rPr>
          <w:rStyle w:val="FootnoteReference"/>
        </w:rPr>
        <w:footnoteRef/>
      </w:r>
      <w:r w:rsidRPr="009E5707">
        <w:rPr>
          <w:lang w:val="de-DE"/>
        </w:rPr>
        <w:t xml:space="preserve"> Friedrich Nietzsche: Fröhliche </w:t>
      </w:r>
      <w:r w:rsidRPr="009E5707">
        <w:rPr>
          <w:i/>
          <w:lang w:val="de-DE"/>
        </w:rPr>
        <w:t>Wissenschaft</w:t>
      </w:r>
      <w:r w:rsidRPr="009E5707">
        <w:rPr>
          <w:lang w:val="de-DE"/>
        </w:rPr>
        <w:t>.</w:t>
      </w:r>
      <w:r w:rsidR="0059082D" w:rsidRPr="009E5707">
        <w:rPr>
          <w:lang w:val="de-DE"/>
        </w:rPr>
        <w:t xml:space="preserve"> In: </w:t>
      </w:r>
      <w:r w:rsidR="0059082D" w:rsidRPr="00C5435D">
        <w:rPr>
          <w:i/>
          <w:lang w:val="de-DE"/>
        </w:rPr>
        <w:t>Morgenröte, Idyllen aus Messina, Die fröhliche Wissenschaft. Kritische Studienausgabe. Herausgegeben von Giorgio Colli und Mazzino Montinari</w:t>
      </w:r>
      <w:r w:rsidR="0059082D" w:rsidRPr="009E5707">
        <w:rPr>
          <w:lang w:val="de-DE"/>
        </w:rPr>
        <w:t xml:space="preserve">. München: dtv, 2015, 343-651, Viertes Buch, Aphorismus 329, 556, 557. </w:t>
      </w:r>
    </w:p>
  </w:footnote>
  <w:footnote w:id="2">
    <w:p w14:paraId="1AF69494" w14:textId="6374C8A9" w:rsidR="002C5172" w:rsidRPr="009E5707" w:rsidRDefault="002C5172" w:rsidP="00E13C98">
      <w:pPr>
        <w:rPr>
          <w:sz w:val="20"/>
          <w:szCs w:val="20"/>
          <w:lang w:val="de-DE"/>
        </w:rPr>
      </w:pPr>
      <w:r w:rsidRPr="009E5707">
        <w:rPr>
          <w:rStyle w:val="FootnoteReference"/>
          <w:sz w:val="20"/>
          <w:szCs w:val="20"/>
        </w:rPr>
        <w:footnoteRef/>
      </w:r>
      <w:r w:rsidRPr="009E5707">
        <w:rPr>
          <w:sz w:val="20"/>
          <w:szCs w:val="20"/>
          <w:lang w:val="de-DE"/>
        </w:rPr>
        <w:t xml:space="preserve"> Peter Handke: </w:t>
      </w:r>
      <w:r w:rsidRPr="009E5707">
        <w:rPr>
          <w:i/>
          <w:sz w:val="20"/>
          <w:szCs w:val="20"/>
          <w:lang w:val="de-DE"/>
        </w:rPr>
        <w:t>Versuch über die Müdigkeit</w:t>
      </w:r>
      <w:r w:rsidRPr="009E5707">
        <w:rPr>
          <w:sz w:val="20"/>
          <w:szCs w:val="20"/>
          <w:lang w:val="de-DE"/>
        </w:rPr>
        <w:t>. Frankfurt am Main: Suhrkamp, 1992, 31.</w:t>
      </w:r>
    </w:p>
  </w:footnote>
  <w:footnote w:id="3">
    <w:p w14:paraId="38A78C9C" w14:textId="4955CCBD" w:rsidR="007D4A60" w:rsidRPr="009E5707" w:rsidRDefault="007D4A60" w:rsidP="007D4A60">
      <w:pPr>
        <w:pStyle w:val="FootnoteText"/>
        <w:rPr>
          <w:lang w:val="de-DE"/>
        </w:rPr>
      </w:pPr>
      <w:r w:rsidRPr="009E5707">
        <w:rPr>
          <w:rStyle w:val="FootnoteReference"/>
        </w:rPr>
        <w:footnoteRef/>
      </w:r>
      <w:r w:rsidRPr="009E5707">
        <w:rPr>
          <w:lang w:val="de-DE"/>
        </w:rPr>
        <w:t xml:space="preserve"> Am Ende des 19. Jahrhunderts war Tolstoi einer der meistgelesenen Autoren im deutschsprachigen Raum (Edith Hanke: </w:t>
      </w:r>
      <w:r w:rsidRPr="009E5707">
        <w:rPr>
          <w:i/>
          <w:lang w:val="de-DE"/>
        </w:rPr>
        <w:t>Prophet des Unmodernen. Leo N. Tolstoi als Kulturkritiker in der deutschen Diskussion der Jahrhundertwende</w:t>
      </w:r>
      <w:r w:rsidRPr="009E5707">
        <w:rPr>
          <w:lang w:val="de-DE"/>
        </w:rPr>
        <w:t>. Tübingen: Niemeyer, 1993, 48-49; für den Zeitraum 1890-1903 zählte Hanke 248 selbständig erschienene Übersetzungen von Tolstois Werken auf dem deutschen Buchmarkt, die Tolstoi-Literatur in dem Zeitraum kommt nach ihr dabei auf 290 Monographien und Artikel</w:t>
      </w:r>
      <w:r w:rsidR="00C5435D">
        <w:rPr>
          <w:lang w:val="de-DE"/>
        </w:rPr>
        <w:t xml:space="preserve">; </w:t>
      </w:r>
      <w:r w:rsidRPr="009E5707">
        <w:rPr>
          <w:lang w:val="de-DE"/>
        </w:rPr>
        <w:t xml:space="preserve">ebd., 215). </w:t>
      </w:r>
    </w:p>
  </w:footnote>
  <w:footnote w:id="4">
    <w:p w14:paraId="0ECA1551" w14:textId="77777777" w:rsidR="007D4A60" w:rsidRPr="009E5707" w:rsidRDefault="007D4A60" w:rsidP="007D4A60">
      <w:pPr>
        <w:pStyle w:val="FootnoteText"/>
        <w:rPr>
          <w:lang w:val="de-DE"/>
        </w:rPr>
      </w:pPr>
      <w:r w:rsidRPr="009E5707">
        <w:rPr>
          <w:rStyle w:val="FootnoteReference"/>
        </w:rPr>
        <w:footnoteRef/>
      </w:r>
      <w:r w:rsidRPr="009E5707">
        <w:rPr>
          <w:lang w:val="de-DE"/>
        </w:rPr>
        <w:t xml:space="preserve"> Leo Tolstoi: </w:t>
      </w:r>
      <w:r w:rsidRPr="009E5707">
        <w:rPr>
          <w:i/>
          <w:lang w:val="de-DE"/>
        </w:rPr>
        <w:t>Religiöse Briefe. Übersetzt und herausgegeben von Karl Nötzel.</w:t>
      </w:r>
      <w:r w:rsidRPr="009E5707">
        <w:rPr>
          <w:lang w:val="de-DE"/>
        </w:rPr>
        <w:t xml:space="preserve"> Sannerz und Leipzig: Gemeinschafts-Verlag Eberhard Arnold, 1922, 334-342.</w:t>
      </w:r>
    </w:p>
  </w:footnote>
  <w:footnote w:id="5">
    <w:p w14:paraId="79A07354" w14:textId="41727D6E" w:rsidR="007D4A60" w:rsidRPr="007A74BC" w:rsidRDefault="007D4A60" w:rsidP="007D4A60">
      <w:pPr>
        <w:rPr>
          <w:rFonts w:ascii="Times New Roman" w:eastAsia="Times New Roman" w:hAnsi="Times New Roman" w:cs="Times New Roman"/>
          <w:lang w:val="en-CA"/>
        </w:rPr>
      </w:pPr>
      <w:r w:rsidRPr="009E5707">
        <w:rPr>
          <w:rStyle w:val="FootnoteReference"/>
          <w:sz w:val="20"/>
          <w:szCs w:val="20"/>
        </w:rPr>
        <w:footnoteRef/>
      </w:r>
      <w:r w:rsidRPr="00C5435D">
        <w:rPr>
          <w:rStyle w:val="FootnoteReference"/>
          <w:sz w:val="20"/>
          <w:szCs w:val="20"/>
          <w:lang w:val="en-CA"/>
        </w:rPr>
        <w:t xml:space="preserve"> </w:t>
      </w:r>
      <w:r w:rsidRPr="00C5435D">
        <w:rPr>
          <w:sz w:val="20"/>
          <w:szCs w:val="20"/>
          <w:lang w:val="en-CA"/>
        </w:rPr>
        <w:t xml:space="preserve">Den besten Überblick gibt Edward Lasseigne: </w:t>
      </w:r>
      <w:r w:rsidR="00C5435D" w:rsidRPr="00C5435D">
        <w:rPr>
          <w:sz w:val="20"/>
          <w:szCs w:val="20"/>
          <w:lang w:val="en-CA"/>
        </w:rPr>
        <w:t>„</w:t>
      </w:r>
      <w:r w:rsidRPr="00C5435D">
        <w:rPr>
          <w:sz w:val="20"/>
          <w:szCs w:val="20"/>
          <w:lang w:val="en-CA"/>
        </w:rPr>
        <w:t xml:space="preserve">The feud between Leo Tolstoy and Emile Zola and its impact on fin-de-siècle </w:t>
      </w:r>
      <w:proofErr w:type="gramStart"/>
      <w:r w:rsidRPr="00C5435D">
        <w:rPr>
          <w:sz w:val="20"/>
          <w:szCs w:val="20"/>
          <w:lang w:val="en-CA"/>
        </w:rPr>
        <w:t>Europe</w:t>
      </w:r>
      <w:r w:rsidR="00C5435D" w:rsidRPr="00C5435D">
        <w:rPr>
          <w:sz w:val="20"/>
          <w:szCs w:val="20"/>
          <w:lang w:val="en-CA"/>
        </w:rPr>
        <w:t>“</w:t>
      </w:r>
      <w:proofErr w:type="gramEnd"/>
      <w:r w:rsidRPr="00C5435D">
        <w:rPr>
          <w:sz w:val="20"/>
          <w:szCs w:val="20"/>
          <w:lang w:val="en-CA"/>
        </w:rPr>
        <w:t xml:space="preserve">. </w:t>
      </w:r>
      <w:r w:rsidRPr="009E5707">
        <w:rPr>
          <w:sz w:val="20"/>
          <w:szCs w:val="20"/>
          <w:lang w:val="en-CA"/>
        </w:rPr>
        <w:t>In:</w:t>
      </w:r>
      <w:r w:rsidR="007A74BC">
        <w:rPr>
          <w:sz w:val="20"/>
          <w:szCs w:val="20"/>
          <w:lang w:val="en-CA"/>
        </w:rPr>
        <w:t xml:space="preserve"> </w:t>
      </w:r>
      <w:r w:rsidR="007A74BC" w:rsidRPr="007A74BC">
        <w:rPr>
          <w:i/>
          <w:sz w:val="20"/>
          <w:szCs w:val="20"/>
          <w:lang w:val="en-CA"/>
        </w:rPr>
        <w:t>Cadernos Neolatinos:</w:t>
      </w:r>
      <w:r w:rsidR="007A74BC">
        <w:rPr>
          <w:sz w:val="20"/>
          <w:szCs w:val="20"/>
          <w:lang w:val="en-CA"/>
        </w:rPr>
        <w:t xml:space="preserve"> </w:t>
      </w:r>
      <w:r w:rsidR="007A74BC">
        <w:rPr>
          <w:rFonts w:ascii="Calibri" w:hAnsi="Calibri" w:cs="Calibri"/>
          <w:i/>
          <w:sz w:val="20"/>
          <w:szCs w:val="20"/>
          <w:lang w:val="en-CA"/>
        </w:rPr>
        <w:t>É</w:t>
      </w:r>
      <w:r w:rsidRPr="009E5707">
        <w:rPr>
          <w:i/>
          <w:sz w:val="20"/>
          <w:szCs w:val="20"/>
          <w:lang w:val="en-CA"/>
        </w:rPr>
        <w:t xml:space="preserve">mile Zola e o </w:t>
      </w:r>
      <w:r w:rsidR="009E5707" w:rsidRPr="009E5707">
        <w:rPr>
          <w:i/>
          <w:sz w:val="20"/>
          <w:szCs w:val="20"/>
          <w:lang w:val="en-CA"/>
        </w:rPr>
        <w:t>naturalism</w:t>
      </w:r>
      <w:r w:rsidR="00C5435D">
        <w:rPr>
          <w:i/>
          <w:sz w:val="20"/>
          <w:szCs w:val="20"/>
          <w:lang w:val="en-CA"/>
        </w:rPr>
        <w:t>o</w:t>
      </w:r>
      <w:r w:rsidR="009E5707">
        <w:rPr>
          <w:sz w:val="20"/>
          <w:szCs w:val="20"/>
          <w:lang w:val="en-CA"/>
        </w:rPr>
        <w:t>.</w:t>
      </w:r>
      <w:r w:rsidRPr="009E5707">
        <w:rPr>
          <w:sz w:val="20"/>
          <w:szCs w:val="20"/>
          <w:lang w:val="en-CA"/>
        </w:rPr>
        <w:t xml:space="preserve"> IV, April 2005.</w:t>
      </w:r>
      <w:r w:rsidR="00C5435D">
        <w:rPr>
          <w:sz w:val="20"/>
          <w:szCs w:val="20"/>
          <w:lang w:val="en-CA"/>
        </w:rPr>
        <w:t xml:space="preserve"> </w:t>
      </w:r>
    </w:p>
  </w:footnote>
  <w:footnote w:id="6">
    <w:p w14:paraId="1B75527B" w14:textId="081370B7" w:rsidR="007D4A60" w:rsidRPr="00411C3B" w:rsidRDefault="007D4A60" w:rsidP="00411C3B">
      <w:pPr>
        <w:rPr>
          <w:b/>
          <w:lang w:val="de-DE"/>
        </w:rPr>
      </w:pPr>
      <w:r w:rsidRPr="009E5707">
        <w:rPr>
          <w:rStyle w:val="FootnoteReference"/>
          <w:sz w:val="20"/>
          <w:szCs w:val="20"/>
        </w:rPr>
        <w:footnoteRef/>
      </w:r>
      <w:r w:rsidRPr="009E5707">
        <w:rPr>
          <w:sz w:val="20"/>
          <w:szCs w:val="20"/>
          <w:lang w:val="de-DE"/>
        </w:rPr>
        <w:t xml:space="preserve"> </w:t>
      </w:r>
      <w:r w:rsidR="00411C3B" w:rsidRPr="00411C3B">
        <w:rPr>
          <w:sz w:val="20"/>
          <w:szCs w:val="20"/>
          <w:lang w:val="de-DE"/>
        </w:rPr>
        <w:t xml:space="preserve">Karl Löwith: </w:t>
      </w:r>
      <w:r w:rsidR="00411C3B" w:rsidRPr="00411C3B">
        <w:rPr>
          <w:i/>
          <w:sz w:val="20"/>
          <w:szCs w:val="20"/>
          <w:lang w:val="de-DE"/>
        </w:rPr>
        <w:t>Von Hegel zu Nietzsche. Der revolutionäre Bruch im Denken des neunzehnten Jahrhunderts</w:t>
      </w:r>
      <w:r w:rsidR="00411C3B" w:rsidRPr="00411C3B">
        <w:rPr>
          <w:sz w:val="20"/>
          <w:szCs w:val="20"/>
          <w:lang w:val="de-DE"/>
        </w:rPr>
        <w:t xml:space="preserve">. Hamburg: Meiner, 1995. </w:t>
      </w:r>
      <w:r w:rsidRPr="009E5707">
        <w:rPr>
          <w:sz w:val="20"/>
          <w:szCs w:val="20"/>
          <w:lang w:val="de-DE"/>
        </w:rPr>
        <w:t>II. Teil. Studien zur Geschichte der bürgerlich-christlichen Welt. II. Das Problem der Arbeit. 5. Nietzsche: Die Arbeit als Auflösung der Andacht und Kontemplation, 308-311.</w:t>
      </w:r>
    </w:p>
  </w:footnote>
  <w:footnote w:id="7">
    <w:p w14:paraId="7EEA00FC" w14:textId="77777777" w:rsidR="007D4A60" w:rsidRPr="009E5707" w:rsidRDefault="007D4A60" w:rsidP="007D4A60">
      <w:pPr>
        <w:pStyle w:val="FootnoteText"/>
        <w:rPr>
          <w:lang w:val="de-DE"/>
        </w:rPr>
      </w:pPr>
      <w:r w:rsidRPr="009E5707">
        <w:rPr>
          <w:rStyle w:val="FootnoteReference"/>
        </w:rPr>
        <w:footnoteRef/>
      </w:r>
      <w:r w:rsidRPr="009E5707">
        <w:rPr>
          <w:lang w:val="de-DE"/>
        </w:rPr>
        <w:t xml:space="preserve"> Ebd., 310. </w:t>
      </w:r>
    </w:p>
  </w:footnote>
  <w:footnote w:id="8">
    <w:p w14:paraId="7234CE9C" w14:textId="027757C3" w:rsidR="007D4A60" w:rsidRPr="009E5707" w:rsidRDefault="007D4A60" w:rsidP="007D4A60">
      <w:pPr>
        <w:rPr>
          <w:b/>
          <w:sz w:val="20"/>
          <w:szCs w:val="20"/>
          <w:lang w:val="de-DE"/>
        </w:rPr>
      </w:pPr>
      <w:r w:rsidRPr="009E5707">
        <w:rPr>
          <w:rStyle w:val="FootnoteReference"/>
          <w:sz w:val="20"/>
          <w:szCs w:val="20"/>
        </w:rPr>
        <w:footnoteRef/>
      </w:r>
      <w:r w:rsidRPr="009E5707">
        <w:rPr>
          <w:sz w:val="20"/>
          <w:szCs w:val="20"/>
          <w:lang w:val="de-DE"/>
        </w:rPr>
        <w:t xml:space="preserve"> </w:t>
      </w:r>
      <w:r w:rsidR="007A74BC" w:rsidRPr="007A74BC">
        <w:rPr>
          <w:rFonts w:ascii="Calibri" w:hAnsi="Calibri" w:cs="Calibri"/>
          <w:sz w:val="20"/>
          <w:szCs w:val="20"/>
          <w:lang w:val="de-DE"/>
        </w:rPr>
        <w:t>É</w:t>
      </w:r>
      <w:r w:rsidR="007A74BC" w:rsidRPr="007A74BC">
        <w:rPr>
          <w:sz w:val="20"/>
          <w:szCs w:val="20"/>
          <w:lang w:val="de-DE"/>
        </w:rPr>
        <w:t>mile</w:t>
      </w:r>
      <w:r w:rsidR="007A74BC" w:rsidRPr="007A74BC">
        <w:rPr>
          <w:i/>
          <w:sz w:val="20"/>
          <w:szCs w:val="20"/>
          <w:lang w:val="de-DE"/>
        </w:rPr>
        <w:t xml:space="preserve"> </w:t>
      </w:r>
      <w:r w:rsidRPr="009E5707">
        <w:rPr>
          <w:sz w:val="20"/>
          <w:szCs w:val="20"/>
          <w:lang w:val="de-DE"/>
        </w:rPr>
        <w:t xml:space="preserve">Zola: </w:t>
      </w:r>
      <w:r w:rsidR="007A74BC">
        <w:rPr>
          <w:sz w:val="20"/>
          <w:szCs w:val="20"/>
          <w:lang w:val="de-DE"/>
        </w:rPr>
        <w:t>„</w:t>
      </w:r>
      <w:r w:rsidRPr="009E5707">
        <w:rPr>
          <w:sz w:val="20"/>
          <w:szCs w:val="20"/>
          <w:lang w:val="de-DE"/>
        </w:rPr>
        <w:t>Rede an die Jugend</w:t>
      </w:r>
      <w:r w:rsidR="007A74BC">
        <w:rPr>
          <w:sz w:val="20"/>
          <w:szCs w:val="20"/>
          <w:lang w:val="de-DE"/>
        </w:rPr>
        <w:t>“</w:t>
      </w:r>
      <w:r w:rsidRPr="009E5707">
        <w:rPr>
          <w:sz w:val="20"/>
          <w:szCs w:val="20"/>
          <w:lang w:val="de-DE"/>
        </w:rPr>
        <w:t xml:space="preserve">, im vorliegenden Band </w:t>
      </w:r>
      <w:r w:rsidRPr="007A74BC">
        <w:rPr>
          <w:sz w:val="20"/>
          <w:szCs w:val="20"/>
          <w:highlight w:val="yellow"/>
          <w:lang w:val="de-DE"/>
        </w:rPr>
        <w:t>X</w:t>
      </w:r>
      <w:r w:rsidRPr="009E5707">
        <w:rPr>
          <w:sz w:val="20"/>
          <w:szCs w:val="20"/>
          <w:lang w:val="de-DE"/>
        </w:rPr>
        <w:t>. Man ist hierbei an Arno Schmidts Dankadresse zum Goethepreis erinnert</w:t>
      </w:r>
      <w:r w:rsidR="00411C3B">
        <w:rPr>
          <w:sz w:val="20"/>
          <w:szCs w:val="20"/>
          <w:lang w:val="de-DE"/>
        </w:rPr>
        <w:t xml:space="preserve">: </w:t>
      </w:r>
      <w:r w:rsidRPr="009E5707">
        <w:rPr>
          <w:sz w:val="20"/>
          <w:szCs w:val="20"/>
          <w:lang w:val="de-DE"/>
        </w:rPr>
        <w:t>„ich weiß, als einzige Panacee, gegen Alles, immer nur ‚Die Arbeit‘ zu nennen</w:t>
      </w:r>
      <w:r w:rsidR="00411C3B">
        <w:rPr>
          <w:sz w:val="20"/>
          <w:szCs w:val="20"/>
          <w:lang w:val="de-DE"/>
        </w:rPr>
        <w:t>“</w:t>
      </w:r>
      <w:r w:rsidRPr="009E5707">
        <w:rPr>
          <w:sz w:val="20"/>
          <w:szCs w:val="20"/>
          <w:lang w:val="de-DE"/>
        </w:rPr>
        <w:t xml:space="preserve"> </w:t>
      </w:r>
      <w:r w:rsidR="00411C3B">
        <w:rPr>
          <w:sz w:val="20"/>
          <w:szCs w:val="20"/>
          <w:lang w:val="de-DE"/>
        </w:rPr>
        <w:t>(</w:t>
      </w:r>
      <w:r w:rsidRPr="009E5707">
        <w:rPr>
          <w:sz w:val="20"/>
          <w:szCs w:val="20"/>
          <w:lang w:val="de-DE"/>
        </w:rPr>
        <w:t xml:space="preserve">Arno Schmidt: </w:t>
      </w:r>
      <w:r w:rsidR="00411C3B">
        <w:rPr>
          <w:sz w:val="20"/>
          <w:szCs w:val="20"/>
          <w:lang w:val="de-DE"/>
        </w:rPr>
        <w:t>„</w:t>
      </w:r>
      <w:r w:rsidRPr="009E5707">
        <w:rPr>
          <w:sz w:val="20"/>
          <w:szCs w:val="20"/>
          <w:lang w:val="de-DE"/>
        </w:rPr>
        <w:t>Dankadresse zum Goethepreis 1973</w:t>
      </w:r>
      <w:r w:rsidR="00411C3B">
        <w:rPr>
          <w:sz w:val="20"/>
          <w:szCs w:val="20"/>
          <w:lang w:val="de-DE"/>
        </w:rPr>
        <w:t>“</w:t>
      </w:r>
      <w:r w:rsidRPr="009E5707">
        <w:rPr>
          <w:sz w:val="20"/>
          <w:szCs w:val="20"/>
          <w:lang w:val="de-DE"/>
        </w:rPr>
        <w:t xml:space="preserve">. In: </w:t>
      </w:r>
      <w:r w:rsidRPr="00AA5812">
        <w:rPr>
          <w:i/>
          <w:sz w:val="20"/>
          <w:szCs w:val="20"/>
          <w:lang w:val="de-DE"/>
        </w:rPr>
        <w:t>Bargfelder Ausgabe. Werkgruppe III. Essays und Biografisches. Band 4. Essays und Aufsätze 2</w:t>
      </w:r>
      <w:r w:rsidRPr="009E5707">
        <w:rPr>
          <w:sz w:val="20"/>
          <w:szCs w:val="20"/>
          <w:lang w:val="de-DE"/>
        </w:rPr>
        <w:t xml:space="preserve">. Bargfeld: </w:t>
      </w:r>
      <w:proofErr w:type="gramStart"/>
      <w:r w:rsidRPr="009E5707">
        <w:rPr>
          <w:sz w:val="20"/>
          <w:szCs w:val="20"/>
          <w:lang w:val="de-DE"/>
        </w:rPr>
        <w:t>Arno Schmidt Stiftung</w:t>
      </w:r>
      <w:proofErr w:type="gramEnd"/>
      <w:r w:rsidRPr="009E5707">
        <w:rPr>
          <w:sz w:val="20"/>
          <w:szCs w:val="20"/>
          <w:lang w:val="de-DE"/>
        </w:rPr>
        <w:t xml:space="preserve"> (Haffmans Verlag), 1995, 463.</w:t>
      </w:r>
    </w:p>
  </w:footnote>
  <w:footnote w:id="9">
    <w:p w14:paraId="21CA397E" w14:textId="07452D76" w:rsidR="003742F1" w:rsidRPr="00AA5812" w:rsidRDefault="003742F1" w:rsidP="00AA5812">
      <w:pPr>
        <w:rPr>
          <w:b/>
          <w:lang w:val="de-DE"/>
        </w:rPr>
      </w:pPr>
      <w:r w:rsidRPr="009E5707">
        <w:rPr>
          <w:rStyle w:val="FootnoteReference"/>
          <w:sz w:val="20"/>
          <w:szCs w:val="20"/>
        </w:rPr>
        <w:footnoteRef/>
      </w:r>
      <w:r w:rsidRPr="009E5707">
        <w:rPr>
          <w:sz w:val="20"/>
          <w:szCs w:val="20"/>
          <w:lang w:val="de-DE"/>
        </w:rPr>
        <w:t xml:space="preserve"> </w:t>
      </w:r>
      <w:r w:rsidR="00AA5812" w:rsidRPr="00AA5812">
        <w:rPr>
          <w:sz w:val="20"/>
          <w:szCs w:val="20"/>
          <w:lang w:val="de-DE"/>
        </w:rPr>
        <w:t>Auguste Comte: R</w:t>
      </w:r>
      <w:r w:rsidR="00AA5812" w:rsidRPr="00AA5812">
        <w:rPr>
          <w:i/>
          <w:sz w:val="20"/>
          <w:szCs w:val="20"/>
          <w:lang w:val="de-DE"/>
        </w:rPr>
        <w:t>ede über den Geist des Positivismus. Übersetzt, eingeleitet und herausgegeben von Iring Fetscher</w:t>
      </w:r>
      <w:r w:rsidR="00AA5812" w:rsidRPr="00AA5812">
        <w:rPr>
          <w:sz w:val="20"/>
          <w:szCs w:val="20"/>
          <w:lang w:val="de-DE"/>
        </w:rPr>
        <w:t>. Hamburg: Meiner, 1956,</w:t>
      </w:r>
      <w:r w:rsidR="00AA5812">
        <w:rPr>
          <w:sz w:val="20"/>
          <w:szCs w:val="20"/>
          <w:lang w:val="de-DE"/>
        </w:rPr>
        <w:t xml:space="preserve"> </w:t>
      </w:r>
      <w:r w:rsidRPr="009E5707">
        <w:rPr>
          <w:sz w:val="20"/>
          <w:szCs w:val="20"/>
          <w:lang w:val="de-DE"/>
        </w:rPr>
        <w:t>87</w:t>
      </w:r>
      <w:r w:rsidR="00AA5812">
        <w:rPr>
          <w:sz w:val="20"/>
          <w:szCs w:val="20"/>
          <w:lang w:val="de-DE"/>
        </w:rPr>
        <w:t>.</w:t>
      </w:r>
    </w:p>
  </w:footnote>
  <w:footnote w:id="10">
    <w:p w14:paraId="790E82AF" w14:textId="27707B59" w:rsidR="003742F1" w:rsidRPr="009E5707" w:rsidRDefault="003742F1">
      <w:pPr>
        <w:pStyle w:val="FootnoteText"/>
        <w:rPr>
          <w:lang w:val="de-DE"/>
        </w:rPr>
      </w:pPr>
      <w:r w:rsidRPr="009E5707">
        <w:rPr>
          <w:rStyle w:val="FootnoteReference"/>
        </w:rPr>
        <w:footnoteRef/>
      </w:r>
      <w:r w:rsidRPr="009E5707">
        <w:rPr>
          <w:lang w:val="de-DE"/>
        </w:rPr>
        <w:t xml:space="preserve"> </w:t>
      </w:r>
      <w:r w:rsidR="00AA5812">
        <w:rPr>
          <w:lang w:val="de-DE"/>
        </w:rPr>
        <w:t xml:space="preserve">Ebd., </w:t>
      </w:r>
      <w:r w:rsidRPr="009E5707">
        <w:rPr>
          <w:lang w:val="de-DE"/>
        </w:rPr>
        <w:t>67</w:t>
      </w:r>
    </w:p>
  </w:footnote>
  <w:footnote w:id="11">
    <w:p w14:paraId="255CBEE7" w14:textId="4C56913A" w:rsidR="003742F1" w:rsidRPr="009E5707" w:rsidRDefault="003742F1">
      <w:pPr>
        <w:pStyle w:val="FootnoteText"/>
        <w:rPr>
          <w:lang w:val="de-DE"/>
        </w:rPr>
      </w:pPr>
      <w:r w:rsidRPr="009E5707">
        <w:rPr>
          <w:rStyle w:val="FootnoteReference"/>
        </w:rPr>
        <w:footnoteRef/>
      </w:r>
      <w:r w:rsidRPr="009E5707">
        <w:rPr>
          <w:lang w:val="de-DE"/>
        </w:rPr>
        <w:t xml:space="preserve"> </w:t>
      </w:r>
      <w:r w:rsidR="00AA5812">
        <w:rPr>
          <w:lang w:val="de-DE"/>
        </w:rPr>
        <w:t xml:space="preserve">Ebd., </w:t>
      </w:r>
      <w:r w:rsidRPr="009E5707">
        <w:rPr>
          <w:lang w:val="de-DE"/>
        </w:rPr>
        <w:t>87</w:t>
      </w:r>
      <w:r w:rsidR="00AA5812">
        <w:rPr>
          <w:lang w:val="de-DE"/>
        </w:rPr>
        <w:t>.</w:t>
      </w:r>
    </w:p>
  </w:footnote>
  <w:footnote w:id="12">
    <w:p w14:paraId="6EE73BAB" w14:textId="461DDA7C" w:rsidR="007D4A60" w:rsidRPr="009E5707" w:rsidRDefault="007D4A60" w:rsidP="007D4A60">
      <w:pPr>
        <w:rPr>
          <w:sz w:val="20"/>
          <w:szCs w:val="20"/>
          <w:lang w:val="de-DE"/>
        </w:rPr>
      </w:pPr>
      <w:r w:rsidRPr="009E5707">
        <w:rPr>
          <w:rStyle w:val="FootnoteReference"/>
          <w:sz w:val="20"/>
          <w:szCs w:val="20"/>
        </w:rPr>
        <w:footnoteRef/>
      </w:r>
      <w:r w:rsidRPr="009E5707">
        <w:rPr>
          <w:sz w:val="20"/>
          <w:szCs w:val="20"/>
          <w:lang w:val="de-DE"/>
        </w:rPr>
        <w:t xml:space="preserve"> Leo Tolstoi: </w:t>
      </w:r>
      <w:r w:rsidRPr="00AA5812">
        <w:rPr>
          <w:i/>
          <w:sz w:val="20"/>
          <w:szCs w:val="20"/>
          <w:lang w:val="de-DE"/>
        </w:rPr>
        <w:t>Meine Beichte</w:t>
      </w:r>
      <w:r w:rsidRPr="009E5707">
        <w:rPr>
          <w:sz w:val="20"/>
          <w:szCs w:val="20"/>
          <w:lang w:val="de-DE"/>
        </w:rPr>
        <w:t>. Berlin: Insel, 2016</w:t>
      </w:r>
      <w:r w:rsidR="003742F1" w:rsidRPr="009E5707">
        <w:rPr>
          <w:sz w:val="20"/>
          <w:szCs w:val="20"/>
          <w:lang w:val="de-DE"/>
        </w:rPr>
        <w:t>, 35.</w:t>
      </w:r>
    </w:p>
  </w:footnote>
  <w:footnote w:id="13">
    <w:p w14:paraId="1F5A27A7" w14:textId="662114AE" w:rsidR="003742F1" w:rsidRPr="009E5707" w:rsidRDefault="003742F1">
      <w:pPr>
        <w:pStyle w:val="FootnoteText"/>
        <w:rPr>
          <w:lang w:val="de-DE"/>
        </w:rPr>
      </w:pPr>
      <w:r w:rsidRPr="009E5707">
        <w:rPr>
          <w:rStyle w:val="FootnoteReference"/>
        </w:rPr>
        <w:footnoteRef/>
      </w:r>
      <w:r w:rsidRPr="009E5707">
        <w:rPr>
          <w:lang w:val="de-DE"/>
        </w:rPr>
        <w:t xml:space="preserve"> </w:t>
      </w:r>
      <w:r w:rsidR="007A74BC" w:rsidRPr="007A74BC">
        <w:rPr>
          <w:rFonts w:ascii="Calibri" w:hAnsi="Calibri" w:cs="Calibri"/>
          <w:lang w:val="de-DE"/>
        </w:rPr>
        <w:t>É</w:t>
      </w:r>
      <w:r w:rsidR="007A74BC" w:rsidRPr="007A74BC">
        <w:rPr>
          <w:lang w:val="de-DE"/>
        </w:rPr>
        <w:t>mile</w:t>
      </w:r>
      <w:r w:rsidR="007A74BC" w:rsidRPr="007A74BC">
        <w:rPr>
          <w:i/>
          <w:lang w:val="de-DE"/>
        </w:rPr>
        <w:t xml:space="preserve"> </w:t>
      </w:r>
      <w:r w:rsidRPr="009E5707">
        <w:rPr>
          <w:lang w:val="de-DE"/>
        </w:rPr>
        <w:t xml:space="preserve">Zola: </w:t>
      </w:r>
      <w:r w:rsidR="007A74BC">
        <w:rPr>
          <w:lang w:val="de-DE"/>
        </w:rPr>
        <w:t>„</w:t>
      </w:r>
      <w:r w:rsidRPr="009E5707">
        <w:rPr>
          <w:lang w:val="de-DE"/>
        </w:rPr>
        <w:t>Rede an die Jugend</w:t>
      </w:r>
      <w:r w:rsidR="007A74BC">
        <w:rPr>
          <w:lang w:val="de-DE"/>
        </w:rPr>
        <w:t>“</w:t>
      </w:r>
      <w:r w:rsidRPr="009E5707">
        <w:rPr>
          <w:lang w:val="de-DE"/>
        </w:rPr>
        <w:t xml:space="preserve">, im vorliegenden Band </w:t>
      </w:r>
      <w:r w:rsidRPr="007A74BC">
        <w:rPr>
          <w:highlight w:val="yellow"/>
          <w:lang w:val="de-DE"/>
        </w:rPr>
        <w:t>X</w:t>
      </w:r>
      <w:r w:rsidRPr="009E5707">
        <w:rPr>
          <w:lang w:val="de-DE"/>
        </w:rPr>
        <w:t>.</w:t>
      </w:r>
    </w:p>
  </w:footnote>
  <w:footnote w:id="14">
    <w:p w14:paraId="37E8F8D9" w14:textId="0EF07046" w:rsidR="007D4A60" w:rsidRPr="009E5707" w:rsidRDefault="007D4A60" w:rsidP="007D4A60">
      <w:pPr>
        <w:pStyle w:val="FootnoteText"/>
        <w:rPr>
          <w:lang w:val="de-DE"/>
        </w:rPr>
      </w:pPr>
      <w:r w:rsidRPr="009E5707">
        <w:rPr>
          <w:rStyle w:val="FootnoteReference"/>
        </w:rPr>
        <w:footnoteRef/>
      </w:r>
      <w:r w:rsidRPr="009E5707">
        <w:rPr>
          <w:lang w:val="de-DE"/>
        </w:rPr>
        <w:t xml:space="preserve"> </w:t>
      </w:r>
      <w:r w:rsidR="00AA5812" w:rsidRPr="00411C3B">
        <w:rPr>
          <w:lang w:val="de-DE"/>
        </w:rPr>
        <w:t xml:space="preserve">Karl Löwith: </w:t>
      </w:r>
      <w:r w:rsidR="00AA5812" w:rsidRPr="00411C3B">
        <w:rPr>
          <w:i/>
          <w:lang w:val="de-DE"/>
        </w:rPr>
        <w:t>Von Hegel zu Nietzsche. Der revolutionäre Bruch im Denken des neunzehnten Jahrhunderts</w:t>
      </w:r>
      <w:r w:rsidR="00AA5812" w:rsidRPr="00411C3B">
        <w:rPr>
          <w:lang w:val="de-DE"/>
        </w:rPr>
        <w:t>. Hamburg: Meiner, 1995</w:t>
      </w:r>
      <w:r w:rsidRPr="009E5707">
        <w:rPr>
          <w:lang w:val="de-DE"/>
        </w:rPr>
        <w:t>, 310.</w:t>
      </w:r>
    </w:p>
  </w:footnote>
  <w:footnote w:id="15">
    <w:p w14:paraId="7F9F5BB1" w14:textId="7C73F072" w:rsidR="007D4A60" w:rsidRPr="009E5707" w:rsidRDefault="007D4A60" w:rsidP="007D4A60">
      <w:pPr>
        <w:rPr>
          <w:b/>
          <w:bCs/>
          <w:sz w:val="20"/>
          <w:szCs w:val="20"/>
          <w:lang w:val="de-DE"/>
        </w:rPr>
      </w:pPr>
      <w:r w:rsidRPr="009E5707">
        <w:rPr>
          <w:rStyle w:val="FootnoteReference"/>
          <w:sz w:val="20"/>
          <w:szCs w:val="20"/>
        </w:rPr>
        <w:footnoteRef/>
      </w:r>
      <w:r w:rsidRPr="009E5707">
        <w:rPr>
          <w:sz w:val="20"/>
          <w:szCs w:val="20"/>
          <w:lang w:val="de-DE"/>
        </w:rPr>
        <w:t xml:space="preserve"> Treffend hat Scheler den Wissenschaftsbegriff des Positivismus als „Arbeitswissenschaft“ gekennzeichnet</w:t>
      </w:r>
      <w:r w:rsidR="00AA5812">
        <w:rPr>
          <w:sz w:val="20"/>
          <w:szCs w:val="20"/>
          <w:lang w:val="de-DE"/>
        </w:rPr>
        <w:t xml:space="preserve"> (</w:t>
      </w:r>
      <w:r w:rsidRPr="009E5707">
        <w:rPr>
          <w:sz w:val="20"/>
          <w:szCs w:val="20"/>
          <w:lang w:val="de-DE"/>
        </w:rPr>
        <w:t xml:space="preserve">Max Scheler: </w:t>
      </w:r>
      <w:r w:rsidR="00AA5812">
        <w:rPr>
          <w:sz w:val="20"/>
          <w:szCs w:val="20"/>
          <w:lang w:val="de-DE"/>
        </w:rPr>
        <w:t>„</w:t>
      </w:r>
      <w:r w:rsidRPr="009E5707">
        <w:rPr>
          <w:sz w:val="20"/>
          <w:szCs w:val="20"/>
          <w:lang w:val="de-DE"/>
        </w:rPr>
        <w:t>Erkenntnis und Arbeit. Eine Studie über Wert und Grenzen des pragmatischen Motivs in der Erkenntnis der Welt</w:t>
      </w:r>
      <w:r w:rsidR="00AA5812">
        <w:rPr>
          <w:sz w:val="20"/>
          <w:szCs w:val="20"/>
          <w:lang w:val="de-DE"/>
        </w:rPr>
        <w:t>“</w:t>
      </w:r>
      <w:r w:rsidRPr="009E5707">
        <w:rPr>
          <w:sz w:val="20"/>
          <w:szCs w:val="20"/>
          <w:lang w:val="de-DE"/>
        </w:rPr>
        <w:t xml:space="preserve">. In: </w:t>
      </w:r>
      <w:r w:rsidRPr="00AA5812">
        <w:rPr>
          <w:i/>
          <w:sz w:val="20"/>
          <w:szCs w:val="20"/>
          <w:lang w:val="de-DE"/>
        </w:rPr>
        <w:t>Die Wissensformen und die Gesellschaft. Gesammelte Werke. Band 8. Zweite, durchgesehene Auflage</w:t>
      </w:r>
      <w:r w:rsidRPr="009E5707">
        <w:rPr>
          <w:sz w:val="20"/>
          <w:szCs w:val="20"/>
          <w:lang w:val="de-DE"/>
        </w:rPr>
        <w:t xml:space="preserve">. Bern und München: Francke, 1960, 191-382, </w:t>
      </w:r>
      <w:r w:rsidR="00AA5812">
        <w:rPr>
          <w:sz w:val="20"/>
          <w:szCs w:val="20"/>
          <w:lang w:val="de-DE"/>
        </w:rPr>
        <w:t xml:space="preserve">hier: </w:t>
      </w:r>
      <w:r w:rsidRPr="009E5707">
        <w:rPr>
          <w:sz w:val="20"/>
          <w:szCs w:val="20"/>
          <w:lang w:val="de-DE"/>
        </w:rPr>
        <w:t>207.</w:t>
      </w:r>
    </w:p>
  </w:footnote>
  <w:footnote w:id="16">
    <w:p w14:paraId="1E075DE7" w14:textId="1E306B94" w:rsidR="00234A1C" w:rsidRPr="009E5707" w:rsidRDefault="00234A1C" w:rsidP="00234A1C">
      <w:pPr>
        <w:rPr>
          <w:sz w:val="20"/>
          <w:szCs w:val="20"/>
          <w:lang w:val="de-DE"/>
        </w:rPr>
      </w:pPr>
      <w:r w:rsidRPr="009E5707">
        <w:rPr>
          <w:rStyle w:val="FootnoteReference"/>
          <w:sz w:val="20"/>
          <w:szCs w:val="20"/>
        </w:rPr>
        <w:footnoteRef/>
      </w:r>
      <w:r w:rsidRPr="008241D1">
        <w:rPr>
          <w:sz w:val="20"/>
          <w:szCs w:val="20"/>
          <w:lang w:val="de-DE"/>
        </w:rPr>
        <w:t xml:space="preserve"> </w:t>
      </w:r>
      <w:r w:rsidR="00AA5812" w:rsidRPr="008241D1">
        <w:rPr>
          <w:sz w:val="20"/>
          <w:szCs w:val="20"/>
          <w:lang w:val="de-DE"/>
        </w:rPr>
        <w:t xml:space="preserve">Brief an Romain Rolland, 3.-4. </w:t>
      </w:r>
      <w:r w:rsidR="00AA5812" w:rsidRPr="009E5707">
        <w:rPr>
          <w:sz w:val="20"/>
          <w:szCs w:val="20"/>
          <w:lang w:val="de-DE"/>
        </w:rPr>
        <w:t>Oktober 1887</w:t>
      </w:r>
      <w:r w:rsidR="00AA5812">
        <w:rPr>
          <w:sz w:val="20"/>
          <w:szCs w:val="20"/>
          <w:lang w:val="de-DE"/>
        </w:rPr>
        <w:t xml:space="preserve">, in </w:t>
      </w:r>
      <w:r w:rsidR="00AA5812" w:rsidRPr="00095489">
        <w:rPr>
          <w:rFonts w:cstheme="minorHAnsi"/>
          <w:sz w:val="20"/>
          <w:szCs w:val="20"/>
          <w:lang w:val="de-DE"/>
        </w:rPr>
        <w:t xml:space="preserve">Lew Tolstoi: </w:t>
      </w:r>
      <w:r w:rsidR="00AA5812" w:rsidRPr="00AA5812">
        <w:rPr>
          <w:rFonts w:cstheme="minorHAnsi"/>
          <w:i/>
          <w:sz w:val="20"/>
          <w:szCs w:val="20"/>
          <w:lang w:val="de-DE"/>
        </w:rPr>
        <w:t>Briefe. Zweiter Band. 1886-1910</w:t>
      </w:r>
      <w:r w:rsidR="00AA5812" w:rsidRPr="00095489">
        <w:rPr>
          <w:rFonts w:cstheme="minorHAnsi"/>
          <w:sz w:val="20"/>
          <w:szCs w:val="20"/>
          <w:lang w:val="de-DE"/>
        </w:rPr>
        <w:t xml:space="preserve">. </w:t>
      </w:r>
      <w:r w:rsidR="00AA5812" w:rsidRPr="00AA5812">
        <w:rPr>
          <w:rFonts w:cstheme="minorHAnsi"/>
          <w:i/>
          <w:sz w:val="20"/>
          <w:szCs w:val="20"/>
          <w:lang w:val="de-DE"/>
        </w:rPr>
        <w:t>Gesammelte Werke in zwanzig Bänden. Herausgegeben von Eberhard Dieckmann und Gerhard Dudek. Band 17</w:t>
      </w:r>
      <w:r w:rsidR="00AA5812" w:rsidRPr="00095489">
        <w:rPr>
          <w:rFonts w:cstheme="minorHAnsi"/>
          <w:sz w:val="20"/>
          <w:szCs w:val="20"/>
          <w:lang w:val="de-DE"/>
        </w:rPr>
        <w:t xml:space="preserve">. Berlin: Rütten &amp; Loening, 1971, </w:t>
      </w:r>
      <w:r w:rsidRPr="009E5707">
        <w:rPr>
          <w:sz w:val="20"/>
          <w:szCs w:val="20"/>
          <w:lang w:val="de-DE"/>
        </w:rPr>
        <w:t>50</w:t>
      </w:r>
      <w:r w:rsidR="00AA5812">
        <w:rPr>
          <w:sz w:val="20"/>
          <w:szCs w:val="20"/>
          <w:lang w:val="de-DE"/>
        </w:rPr>
        <w:t xml:space="preserve">. </w:t>
      </w:r>
      <w:r w:rsidRPr="009E5707">
        <w:rPr>
          <w:sz w:val="20"/>
          <w:szCs w:val="20"/>
          <w:lang w:val="de-DE"/>
        </w:rPr>
        <w:t xml:space="preserve">Max Weber hat sich mit Tolstois </w:t>
      </w:r>
      <w:r w:rsidR="00AA5812">
        <w:rPr>
          <w:sz w:val="20"/>
          <w:szCs w:val="20"/>
          <w:lang w:val="de-DE"/>
        </w:rPr>
        <w:t>Wissenschaftsa</w:t>
      </w:r>
      <w:r w:rsidRPr="009E5707">
        <w:rPr>
          <w:sz w:val="20"/>
          <w:szCs w:val="20"/>
          <w:lang w:val="de-DE"/>
        </w:rPr>
        <w:t xml:space="preserve">uffassung in seiner Schrift </w:t>
      </w:r>
      <w:r w:rsidRPr="00AA5812">
        <w:rPr>
          <w:i/>
          <w:sz w:val="20"/>
          <w:szCs w:val="20"/>
          <w:lang w:val="de-DE"/>
        </w:rPr>
        <w:t>Wissenschaft als Beruf</w:t>
      </w:r>
      <w:r w:rsidRPr="009E5707">
        <w:rPr>
          <w:sz w:val="20"/>
          <w:szCs w:val="20"/>
          <w:lang w:val="de-DE"/>
        </w:rPr>
        <w:t xml:space="preserve"> auseinandergesetzt</w:t>
      </w:r>
      <w:r w:rsidR="00335993">
        <w:rPr>
          <w:sz w:val="20"/>
          <w:szCs w:val="20"/>
          <w:lang w:val="de-DE"/>
        </w:rPr>
        <w:t xml:space="preserve">: „Hat denn aber nun dieser in der okzidentalen Kultur durch Jahrtausende fortgesetzter Entzauberungsprozeß und überhaupt: dieser ‚Fortschritt‘, dem die Wissenschaft als Glied und Triebkraft mit angehört, irgendeinen über dies Praktische und Technische hinausgehenden Sinn? Aufgeworfen finden Sie diese Fragen am prinzipiellsten in den Werken Leo Tolstojs.“ (Max Weber: </w:t>
      </w:r>
      <w:r w:rsidR="00335993" w:rsidRPr="00A80BB8">
        <w:rPr>
          <w:i/>
          <w:sz w:val="20"/>
          <w:szCs w:val="20"/>
          <w:lang w:val="de-DE"/>
        </w:rPr>
        <w:t>Wissenschaft als Beruf. Nachwort von Friedrich Tenbruck</w:t>
      </w:r>
      <w:r w:rsidR="00335993">
        <w:rPr>
          <w:sz w:val="20"/>
          <w:szCs w:val="20"/>
          <w:lang w:val="de-DE"/>
        </w:rPr>
        <w:t>. Stuttgart: Reclam, 2015, 19)</w:t>
      </w:r>
      <w:r w:rsidR="00C840F4">
        <w:rPr>
          <w:sz w:val="20"/>
          <w:szCs w:val="20"/>
          <w:lang w:val="de-DE"/>
        </w:rPr>
        <w:t xml:space="preserve"> Seine Antwort, in der er bekanntlich das Normative aus den Wissenschaften entfernt sehen möchte, ist eine direkte Replik auf Tolstoi.  </w:t>
      </w:r>
    </w:p>
  </w:footnote>
  <w:footnote w:id="17">
    <w:p w14:paraId="7B7EB768" w14:textId="6C08D932" w:rsidR="00EC757F" w:rsidRPr="00EC757F" w:rsidRDefault="00EC757F">
      <w:pPr>
        <w:pStyle w:val="FootnoteText"/>
        <w:rPr>
          <w:lang w:val="de-DE"/>
        </w:rPr>
      </w:pPr>
      <w:r>
        <w:rPr>
          <w:rStyle w:val="FootnoteReference"/>
        </w:rPr>
        <w:footnoteRef/>
      </w:r>
      <w:r w:rsidRPr="00EC757F">
        <w:rPr>
          <w:lang w:val="de-DE"/>
        </w:rPr>
        <w:t xml:space="preserve"> </w:t>
      </w:r>
      <w:r>
        <w:rPr>
          <w:lang w:val="de-DE"/>
        </w:rPr>
        <w:t>In seinen letzten Lebensjahren verwandte Tolstoi den größten Teil seiner schriftstellerischen Energie auf die Sammlung und Herausgabe dieser für ihn so wichtigen Lebensweisheiten</w:t>
      </w:r>
      <w:r w:rsidR="00C840F4">
        <w:rPr>
          <w:lang w:val="de-DE"/>
        </w:rPr>
        <w:t xml:space="preserve">: </w:t>
      </w:r>
      <w:r w:rsidR="00C840F4" w:rsidRPr="00D82EF0">
        <w:rPr>
          <w:i/>
          <w:lang w:val="de-DE"/>
        </w:rPr>
        <w:t>Gedanken weiser Männer</w:t>
      </w:r>
      <w:r w:rsidR="00C840F4">
        <w:rPr>
          <w:lang w:val="de-DE"/>
        </w:rPr>
        <w:t xml:space="preserve"> (München: Albert Langen; 1904)</w:t>
      </w:r>
      <w:r>
        <w:rPr>
          <w:lang w:val="de-DE"/>
        </w:rPr>
        <w:t xml:space="preserve">, </w:t>
      </w:r>
      <w:r w:rsidR="00D82EF0" w:rsidRPr="00D82EF0">
        <w:rPr>
          <w:i/>
          <w:lang w:val="de-DE"/>
        </w:rPr>
        <w:t>Für alle Tage. Ein Lebensbuch</w:t>
      </w:r>
      <w:r w:rsidR="00D82EF0">
        <w:rPr>
          <w:lang w:val="de-DE"/>
        </w:rPr>
        <w:t xml:space="preserve"> (Dresden: Carl Reißner, 1906; zuletzt München: C.H. Beck, 2018), </w:t>
      </w:r>
      <w:r w:rsidR="00C840F4" w:rsidRPr="00D82EF0">
        <w:rPr>
          <w:i/>
          <w:lang w:val="de-DE"/>
        </w:rPr>
        <w:t>Der Lebensweg. Ein Buch für Wahrheitssucher</w:t>
      </w:r>
      <w:r w:rsidR="00C840F4">
        <w:rPr>
          <w:lang w:val="de-DE"/>
        </w:rPr>
        <w:t xml:space="preserve"> </w:t>
      </w:r>
      <w:r w:rsidR="00D82EF0">
        <w:rPr>
          <w:lang w:val="de-DE"/>
        </w:rPr>
        <w:t>(</w:t>
      </w:r>
      <w:r w:rsidR="00D82EF0" w:rsidRPr="00BD1AA7">
        <w:rPr>
          <w:lang w:val="de-DE"/>
        </w:rPr>
        <w:t>Leipzig: Verlagsbuchhandlung Schulze &amp; Co, 1912</w:t>
      </w:r>
      <w:r w:rsidR="00D82EF0">
        <w:rPr>
          <w:lang w:val="de-DE"/>
        </w:rPr>
        <w:t>).</w:t>
      </w:r>
      <w:r w:rsidR="00E52BEE">
        <w:rPr>
          <w:lang w:val="de-DE"/>
        </w:rPr>
        <w:t xml:space="preserve"> </w:t>
      </w:r>
    </w:p>
  </w:footnote>
  <w:footnote w:id="18">
    <w:p w14:paraId="1F8DA4B7" w14:textId="7AD41925" w:rsidR="007D4A60" w:rsidRPr="009E5707" w:rsidRDefault="007D4A60" w:rsidP="007D4A60">
      <w:pPr>
        <w:pStyle w:val="FootnoteText"/>
        <w:rPr>
          <w:lang w:val="de-DE"/>
        </w:rPr>
      </w:pPr>
      <w:r w:rsidRPr="009E5707">
        <w:rPr>
          <w:rStyle w:val="FootnoteReference"/>
        </w:rPr>
        <w:footnoteRef/>
      </w:r>
      <w:r w:rsidRPr="00A80BB8">
        <w:rPr>
          <w:lang w:val="de-DE"/>
        </w:rPr>
        <w:t xml:space="preserve"> Brief</w:t>
      </w:r>
      <w:r w:rsidR="00335993" w:rsidRPr="00A80BB8">
        <w:rPr>
          <w:lang w:val="de-DE"/>
        </w:rPr>
        <w:t xml:space="preserve"> an Tolstois dritten Sohn, Lew Lwowitsch Tolstoi, 23.-25. </w:t>
      </w:r>
      <w:r w:rsidR="00335993" w:rsidRPr="00CB2978">
        <w:rPr>
          <w:lang w:val="de-DE"/>
        </w:rPr>
        <w:t>Juni 1893</w:t>
      </w:r>
      <w:r w:rsidR="00335993">
        <w:rPr>
          <w:lang w:val="de-DE"/>
        </w:rPr>
        <w:t xml:space="preserve">, </w:t>
      </w:r>
      <w:r w:rsidR="00A80BB8">
        <w:rPr>
          <w:lang w:val="de-DE"/>
        </w:rPr>
        <w:t xml:space="preserve">in </w:t>
      </w:r>
      <w:r w:rsidR="00A80BB8" w:rsidRPr="00095489">
        <w:rPr>
          <w:rFonts w:cstheme="minorHAnsi"/>
          <w:lang w:val="de-DE"/>
        </w:rPr>
        <w:t xml:space="preserve">Lew Tolstoi: </w:t>
      </w:r>
      <w:r w:rsidR="00A80BB8" w:rsidRPr="00AA5812">
        <w:rPr>
          <w:rFonts w:cstheme="minorHAnsi"/>
          <w:i/>
          <w:lang w:val="de-DE"/>
        </w:rPr>
        <w:t>Briefe. Zweiter Band. 1886-1910</w:t>
      </w:r>
      <w:r w:rsidR="00A80BB8" w:rsidRPr="00095489">
        <w:rPr>
          <w:rFonts w:cstheme="minorHAnsi"/>
          <w:lang w:val="de-DE"/>
        </w:rPr>
        <w:t xml:space="preserve">. </w:t>
      </w:r>
      <w:r w:rsidR="00A80BB8" w:rsidRPr="00AA5812">
        <w:rPr>
          <w:rFonts w:cstheme="minorHAnsi"/>
          <w:i/>
          <w:lang w:val="de-DE"/>
        </w:rPr>
        <w:t>Gesammelte Werke in zwanzig Bänden. Herausgegeben von Eberhard Dieckmann und Gerhard Dudek. Band 17</w:t>
      </w:r>
      <w:r w:rsidR="00A80BB8" w:rsidRPr="00095489">
        <w:rPr>
          <w:rFonts w:cstheme="minorHAnsi"/>
          <w:lang w:val="de-DE"/>
        </w:rPr>
        <w:t xml:space="preserve">. Berlin: Rütten &amp; Loening, 1971, </w:t>
      </w:r>
      <w:r w:rsidR="00A80BB8">
        <w:rPr>
          <w:lang w:val="de-DE"/>
        </w:rPr>
        <w:t>144.</w:t>
      </w:r>
    </w:p>
  </w:footnote>
  <w:footnote w:id="19">
    <w:p w14:paraId="3A7BA44E" w14:textId="77777777" w:rsidR="005A3B90" w:rsidRPr="004C50B9" w:rsidRDefault="005A3B90" w:rsidP="005A3B90">
      <w:pPr>
        <w:pStyle w:val="FootnoteText"/>
        <w:rPr>
          <w:lang w:val="de-DE"/>
        </w:rPr>
      </w:pPr>
      <w:r>
        <w:rPr>
          <w:rStyle w:val="FootnoteReference"/>
        </w:rPr>
        <w:footnoteRef/>
      </w:r>
      <w:r w:rsidRPr="004C50B9">
        <w:rPr>
          <w:lang w:val="de-DE"/>
        </w:rPr>
        <w:t xml:space="preserve"> </w:t>
      </w:r>
      <w:r>
        <w:rPr>
          <w:lang w:val="de-DE"/>
        </w:rPr>
        <w:t xml:space="preserve">Alexandre Dumas: „Mystizismus an der Hochschule“, im vorliegenden Band </w:t>
      </w:r>
      <w:r w:rsidRPr="004C50B9">
        <w:rPr>
          <w:highlight w:val="yellow"/>
          <w:lang w:val="de-DE"/>
        </w:rPr>
        <w:t>X</w:t>
      </w:r>
      <w:r>
        <w:rPr>
          <w:lang w:val="de-DE"/>
        </w:rPr>
        <w:t>.</w:t>
      </w:r>
    </w:p>
  </w:footnote>
  <w:footnote w:id="20">
    <w:p w14:paraId="17F4CD6F" w14:textId="706AB6D0" w:rsidR="007D4A60" w:rsidRPr="009E5707" w:rsidRDefault="007D4A60" w:rsidP="007D4A60">
      <w:pPr>
        <w:rPr>
          <w:sz w:val="20"/>
          <w:szCs w:val="20"/>
          <w:lang w:val="de-DE"/>
        </w:rPr>
      </w:pPr>
      <w:r w:rsidRPr="009E5707">
        <w:rPr>
          <w:rStyle w:val="FootnoteReference"/>
          <w:sz w:val="20"/>
          <w:szCs w:val="20"/>
        </w:rPr>
        <w:footnoteRef/>
      </w:r>
      <w:r w:rsidRPr="009E5707">
        <w:rPr>
          <w:sz w:val="20"/>
          <w:szCs w:val="20"/>
          <w:lang w:val="de-DE"/>
        </w:rPr>
        <w:t xml:space="preserve"> </w:t>
      </w:r>
      <w:r w:rsidR="00A80BB8">
        <w:rPr>
          <w:sz w:val="20"/>
          <w:szCs w:val="20"/>
          <w:lang w:val="de-DE"/>
        </w:rPr>
        <w:t xml:space="preserve">Tolstoi steht in der Tradition des </w:t>
      </w:r>
      <w:r w:rsidR="00035ABB" w:rsidRPr="009E5707">
        <w:rPr>
          <w:sz w:val="20"/>
          <w:szCs w:val="20"/>
          <w:lang w:val="de-DE"/>
        </w:rPr>
        <w:t>Sokratismus</w:t>
      </w:r>
      <w:r w:rsidR="00A80BB8">
        <w:rPr>
          <w:sz w:val="20"/>
          <w:szCs w:val="20"/>
          <w:lang w:val="de-DE"/>
        </w:rPr>
        <w:t>, genauer gesagt des christlichen Sokratismus, wie ihn Gilson charakterisiert hat (</w:t>
      </w:r>
      <w:r w:rsidRPr="009E5707">
        <w:rPr>
          <w:sz w:val="20"/>
          <w:szCs w:val="20"/>
          <w:lang w:val="de-DE"/>
        </w:rPr>
        <w:t xml:space="preserve">Etienne Gilson: </w:t>
      </w:r>
      <w:r w:rsidRPr="00A80BB8">
        <w:rPr>
          <w:i/>
          <w:sz w:val="20"/>
          <w:szCs w:val="20"/>
          <w:lang w:val="de-DE"/>
        </w:rPr>
        <w:t>Der Geist der mittelalterlichen Philosophie</w:t>
      </w:r>
      <w:r w:rsidRPr="009E5707">
        <w:rPr>
          <w:sz w:val="20"/>
          <w:szCs w:val="20"/>
          <w:lang w:val="de-DE"/>
        </w:rPr>
        <w:t xml:space="preserve">. Wien: Herder, 1950, </w:t>
      </w:r>
      <w:r w:rsidR="00A80BB8" w:rsidRPr="009E5707">
        <w:rPr>
          <w:sz w:val="20"/>
          <w:szCs w:val="20"/>
          <w:lang w:val="de-DE"/>
        </w:rPr>
        <w:t>11. Kapitel: Selbsterkenntnis oder: christlicher Sokratismus, 235-256</w:t>
      </w:r>
      <w:r w:rsidR="00D82EF0">
        <w:rPr>
          <w:sz w:val="20"/>
          <w:szCs w:val="20"/>
          <w:lang w:val="de-DE"/>
        </w:rPr>
        <w:t>).</w:t>
      </w:r>
    </w:p>
  </w:footnote>
  <w:footnote w:id="21">
    <w:p w14:paraId="50215C10" w14:textId="567B27A7" w:rsidR="007D4A60" w:rsidRPr="009E5707" w:rsidRDefault="007D4A60" w:rsidP="007D4A60">
      <w:pPr>
        <w:pStyle w:val="FootnoteText"/>
        <w:rPr>
          <w:lang w:val="de-DE"/>
        </w:rPr>
      </w:pPr>
      <w:r w:rsidRPr="009E5707">
        <w:rPr>
          <w:rStyle w:val="FootnoteReference"/>
        </w:rPr>
        <w:footnoteRef/>
      </w:r>
      <w:r w:rsidRPr="009E5707">
        <w:rPr>
          <w:lang w:val="de-DE"/>
        </w:rPr>
        <w:t xml:space="preserve"> </w:t>
      </w:r>
      <w:r w:rsidR="00A80BB8">
        <w:rPr>
          <w:lang w:val="de-DE"/>
        </w:rPr>
        <w:t xml:space="preserve">Leo Tolstoi: „Besinnet Euch! (Tut Buße) Ein Wort zum Russisch-Japanischen Krieg.“ In: </w:t>
      </w:r>
      <w:r w:rsidR="00A80BB8" w:rsidRPr="00172250">
        <w:rPr>
          <w:i/>
          <w:lang w:val="de-DE"/>
        </w:rPr>
        <w:t>Religiös-ethische Flugschriften Band II. Sämtliche Werke. I. Serie. Sozial-ethische Schriften. Band 12</w:t>
      </w:r>
      <w:r w:rsidR="00A80BB8">
        <w:rPr>
          <w:lang w:val="de-DE"/>
        </w:rPr>
        <w:t>. Jena: Diederichs, 1911, 1-100, hier: 39.</w:t>
      </w:r>
    </w:p>
  </w:footnote>
  <w:footnote w:id="22">
    <w:p w14:paraId="2AD5AC54" w14:textId="77777777" w:rsidR="007D4A60" w:rsidRPr="00EA4865" w:rsidRDefault="007D4A60" w:rsidP="007D4A60">
      <w:pPr>
        <w:pStyle w:val="FootnoteText"/>
        <w:rPr>
          <w:rFonts w:cstheme="minorHAnsi"/>
          <w:lang w:val="de-DE"/>
        </w:rPr>
      </w:pPr>
      <w:r w:rsidRPr="009E5707">
        <w:rPr>
          <w:rStyle w:val="FootnoteReference"/>
          <w:rFonts w:cstheme="minorHAnsi"/>
        </w:rPr>
        <w:footnoteRef/>
      </w:r>
      <w:r w:rsidRPr="009E5707">
        <w:rPr>
          <w:rFonts w:cstheme="minorHAnsi"/>
          <w:lang w:val="de-DE"/>
        </w:rPr>
        <w:t xml:space="preserve"> „Tolstoi on Zola’s ‚Gospel of Grind‘“. </w:t>
      </w:r>
      <w:r w:rsidRPr="00EA4865">
        <w:rPr>
          <w:rFonts w:cstheme="minorHAnsi"/>
          <w:lang w:val="de-DE"/>
        </w:rPr>
        <w:t xml:space="preserve">In: </w:t>
      </w:r>
      <w:r w:rsidRPr="00EA4865">
        <w:rPr>
          <w:rFonts w:cstheme="minorHAnsi"/>
          <w:i/>
          <w:lang w:val="de-DE"/>
        </w:rPr>
        <w:t>The Westminster Gazette</w:t>
      </w:r>
      <w:r w:rsidRPr="00EA4865">
        <w:rPr>
          <w:rFonts w:cstheme="minorHAnsi"/>
          <w:lang w:val="de-DE"/>
        </w:rPr>
        <w:t xml:space="preserve">, 21. September 1893, 4. </w:t>
      </w:r>
    </w:p>
  </w:footnote>
  <w:footnote w:id="23">
    <w:p w14:paraId="25282F7A" w14:textId="5D93A602" w:rsidR="00035ABB" w:rsidRPr="009E5707" w:rsidRDefault="00035ABB">
      <w:pPr>
        <w:pStyle w:val="FootnoteText"/>
        <w:rPr>
          <w:lang w:val="de-DE"/>
        </w:rPr>
      </w:pPr>
      <w:r w:rsidRPr="009E5707">
        <w:rPr>
          <w:rStyle w:val="FootnoteReference"/>
        </w:rPr>
        <w:footnoteRef/>
      </w:r>
      <w:r w:rsidRPr="009E5707">
        <w:rPr>
          <w:lang w:val="de-DE"/>
        </w:rPr>
        <w:t xml:space="preserve"> </w:t>
      </w:r>
      <w:r w:rsidR="00D82EF0">
        <w:rPr>
          <w:lang w:val="de-DE"/>
        </w:rPr>
        <w:t xml:space="preserve">Leo </w:t>
      </w:r>
      <w:r w:rsidRPr="009E5707">
        <w:rPr>
          <w:lang w:val="de-DE"/>
        </w:rPr>
        <w:t xml:space="preserve">Tolstoi: </w:t>
      </w:r>
      <w:r w:rsidR="00D82EF0">
        <w:rPr>
          <w:lang w:val="de-DE"/>
        </w:rPr>
        <w:t>„</w:t>
      </w:r>
      <w:r w:rsidRPr="009E5707">
        <w:rPr>
          <w:lang w:val="de-DE"/>
        </w:rPr>
        <w:t>Zola und Dumas. Das Nichttun</w:t>
      </w:r>
      <w:r w:rsidR="00D82EF0">
        <w:rPr>
          <w:lang w:val="de-DE"/>
        </w:rPr>
        <w:t>“, i</w:t>
      </w:r>
      <w:r w:rsidRPr="009E5707">
        <w:rPr>
          <w:lang w:val="de-DE"/>
        </w:rPr>
        <w:t xml:space="preserve">m vorliegenden Band </w:t>
      </w:r>
      <w:r w:rsidRPr="00D82EF0">
        <w:rPr>
          <w:highlight w:val="yellow"/>
          <w:lang w:val="de-DE"/>
        </w:rPr>
        <w:t>X</w:t>
      </w:r>
      <w:r w:rsidRPr="009E5707">
        <w:rPr>
          <w:lang w:val="de-DE"/>
        </w:rPr>
        <w:t xml:space="preserve">. </w:t>
      </w:r>
    </w:p>
  </w:footnote>
  <w:footnote w:id="24">
    <w:p w14:paraId="5FB71122" w14:textId="5E3D5152" w:rsidR="00D82EF0" w:rsidRPr="00724410" w:rsidRDefault="00D82EF0" w:rsidP="00724410">
      <w:pPr>
        <w:rPr>
          <w:sz w:val="20"/>
          <w:szCs w:val="20"/>
          <w:lang w:val="de-DE"/>
        </w:rPr>
      </w:pPr>
      <w:r w:rsidRPr="00D82EF0">
        <w:rPr>
          <w:rStyle w:val="FootnoteReference"/>
          <w:sz w:val="20"/>
          <w:szCs w:val="20"/>
        </w:rPr>
        <w:footnoteRef/>
      </w:r>
      <w:r w:rsidRPr="00D82EF0">
        <w:rPr>
          <w:lang w:val="de-DE"/>
        </w:rPr>
        <w:t xml:space="preserve"> </w:t>
      </w:r>
      <w:r w:rsidRPr="00D82EF0">
        <w:rPr>
          <w:sz w:val="20"/>
          <w:szCs w:val="20"/>
          <w:lang w:val="de-DE"/>
        </w:rPr>
        <w:t xml:space="preserve">Isaac Barrow (1630-1677) ist vor allem </w:t>
      </w:r>
      <w:proofErr w:type="gramStart"/>
      <w:r w:rsidRPr="00D82EF0">
        <w:rPr>
          <w:sz w:val="20"/>
          <w:szCs w:val="20"/>
          <w:lang w:val="de-DE"/>
        </w:rPr>
        <w:t>durch seine mathematischen Arbeit</w:t>
      </w:r>
      <w:proofErr w:type="gramEnd"/>
      <w:r w:rsidRPr="00D82EF0">
        <w:rPr>
          <w:sz w:val="20"/>
          <w:szCs w:val="20"/>
          <w:lang w:val="de-DE"/>
        </w:rPr>
        <w:t xml:space="preserve"> bekannt geworden</w:t>
      </w:r>
      <w:r w:rsidR="00724410">
        <w:rPr>
          <w:sz w:val="20"/>
          <w:szCs w:val="20"/>
          <w:lang w:val="de-DE"/>
        </w:rPr>
        <w:t>;</w:t>
      </w:r>
      <w:r w:rsidRPr="00D82EF0">
        <w:rPr>
          <w:sz w:val="20"/>
          <w:szCs w:val="20"/>
          <w:lang w:val="de-DE"/>
        </w:rPr>
        <w:t xml:space="preserve"> er </w:t>
      </w:r>
      <w:r w:rsidR="00724410">
        <w:rPr>
          <w:sz w:val="20"/>
          <w:szCs w:val="20"/>
          <w:lang w:val="de-DE"/>
        </w:rPr>
        <w:t xml:space="preserve">war </w:t>
      </w:r>
      <w:r w:rsidRPr="00D82EF0">
        <w:rPr>
          <w:sz w:val="20"/>
          <w:szCs w:val="20"/>
          <w:lang w:val="de-DE"/>
        </w:rPr>
        <w:t xml:space="preserve">der erste </w:t>
      </w:r>
      <w:r w:rsidRPr="00724410">
        <w:rPr>
          <w:i/>
          <w:sz w:val="20"/>
          <w:szCs w:val="20"/>
          <w:lang w:val="de-DE"/>
        </w:rPr>
        <w:t>Lucasian Professor of Mathematics</w:t>
      </w:r>
      <w:r w:rsidR="00724410">
        <w:rPr>
          <w:sz w:val="20"/>
          <w:szCs w:val="20"/>
          <w:lang w:val="de-DE"/>
        </w:rPr>
        <w:t xml:space="preserve"> an der Universität Cambridge, ein Lehrstuhl, welcher nach ihm sein Schüler Isaac Newton innehatte. </w:t>
      </w:r>
    </w:p>
  </w:footnote>
  <w:footnote w:id="25">
    <w:p w14:paraId="6240D62D" w14:textId="7774BD63" w:rsidR="007D4A60" w:rsidRPr="00A80BB8" w:rsidRDefault="007D4A60" w:rsidP="007D4A60">
      <w:pPr>
        <w:rPr>
          <w:b/>
          <w:lang w:val="en-CA"/>
        </w:rPr>
      </w:pPr>
      <w:r w:rsidRPr="009E5707">
        <w:rPr>
          <w:rStyle w:val="FootnoteReference"/>
          <w:sz w:val="20"/>
          <w:szCs w:val="20"/>
        </w:rPr>
        <w:footnoteRef/>
      </w:r>
      <w:r w:rsidRPr="009E5707">
        <w:rPr>
          <w:sz w:val="20"/>
          <w:szCs w:val="20"/>
          <w:lang w:val="en-CA"/>
        </w:rPr>
        <w:t xml:space="preserve"> </w:t>
      </w:r>
      <w:r w:rsidR="00A80BB8" w:rsidRPr="00A80BB8">
        <w:rPr>
          <w:sz w:val="20"/>
          <w:szCs w:val="20"/>
          <w:lang w:val="en-CA"/>
        </w:rPr>
        <w:t xml:space="preserve">Isaac Barrow: </w:t>
      </w:r>
      <w:r w:rsidR="00A80BB8" w:rsidRPr="00A80BB8">
        <w:rPr>
          <w:i/>
          <w:sz w:val="20"/>
          <w:szCs w:val="20"/>
          <w:lang w:val="en-CA"/>
        </w:rPr>
        <w:t>Of industry, in four discourses</w:t>
      </w:r>
      <w:r w:rsidR="00A80BB8" w:rsidRPr="00A80BB8">
        <w:rPr>
          <w:sz w:val="20"/>
          <w:szCs w:val="20"/>
          <w:lang w:val="en-CA"/>
        </w:rPr>
        <w:t xml:space="preserve">. </w:t>
      </w:r>
      <w:r w:rsidR="00A80BB8" w:rsidRPr="00A80BB8">
        <w:rPr>
          <w:i/>
          <w:sz w:val="20"/>
          <w:szCs w:val="20"/>
          <w:lang w:val="en-CA"/>
        </w:rPr>
        <w:t>Second edition</w:t>
      </w:r>
      <w:r w:rsidR="00A80BB8" w:rsidRPr="00A80BB8">
        <w:rPr>
          <w:sz w:val="20"/>
          <w:szCs w:val="20"/>
          <w:lang w:val="en-CA"/>
        </w:rPr>
        <w:t>. London: Aylmer, 1712</w:t>
      </w:r>
      <w:r w:rsidR="00A80BB8">
        <w:rPr>
          <w:sz w:val="20"/>
          <w:szCs w:val="20"/>
          <w:lang w:val="en-CA"/>
        </w:rPr>
        <w:t>, 81: “</w:t>
      </w:r>
      <w:r w:rsidRPr="009E5707">
        <w:rPr>
          <w:sz w:val="20"/>
          <w:szCs w:val="20"/>
          <w:lang w:val="en-CA"/>
        </w:rPr>
        <w:t>Yea God himself, although immoveably and infinitely happy, is yet immensly careful, and everlasting busie”</w:t>
      </w:r>
      <w:r w:rsidR="00A80BB8">
        <w:rPr>
          <w:sz w:val="20"/>
          <w:szCs w:val="20"/>
          <w:lang w:val="en-CA"/>
        </w:rPr>
        <w:t>.</w:t>
      </w:r>
    </w:p>
  </w:footnote>
  <w:footnote w:id="26">
    <w:p w14:paraId="6C655702" w14:textId="60B67241" w:rsidR="007D4A60" w:rsidRPr="009E5707" w:rsidRDefault="007D4A60" w:rsidP="007D4A60">
      <w:pPr>
        <w:rPr>
          <w:sz w:val="20"/>
          <w:szCs w:val="20"/>
          <w:lang w:val="en-CA"/>
        </w:rPr>
      </w:pPr>
      <w:r w:rsidRPr="009E5707">
        <w:rPr>
          <w:rStyle w:val="FootnoteReference"/>
          <w:sz w:val="20"/>
          <w:szCs w:val="20"/>
        </w:rPr>
        <w:footnoteRef/>
      </w:r>
      <w:r w:rsidRPr="009E5707">
        <w:rPr>
          <w:sz w:val="20"/>
          <w:szCs w:val="20"/>
        </w:rPr>
        <w:t xml:space="preserve"> </w:t>
      </w:r>
      <w:r w:rsidR="00A80BB8">
        <w:rPr>
          <w:sz w:val="20"/>
          <w:szCs w:val="20"/>
          <w:lang w:val="en-CA"/>
        </w:rPr>
        <w:t xml:space="preserve">Ebd., 82: </w:t>
      </w:r>
      <w:r w:rsidRPr="009E5707">
        <w:rPr>
          <w:sz w:val="20"/>
          <w:szCs w:val="20"/>
          <w:lang w:val="en-CA"/>
        </w:rPr>
        <w:t xml:space="preserve">“And shall we alone be idle, while all things are so busie? […] to disagree with every creature, is it not very monstrous and extravagant?” </w:t>
      </w:r>
    </w:p>
  </w:footnote>
  <w:footnote w:id="27">
    <w:p w14:paraId="06C7DFB1" w14:textId="204CE1AE" w:rsidR="007D4A60" w:rsidRPr="009E5707" w:rsidRDefault="007D4A60" w:rsidP="007D4A60">
      <w:pPr>
        <w:rPr>
          <w:sz w:val="20"/>
          <w:szCs w:val="20"/>
          <w:lang w:val="en-CA"/>
        </w:rPr>
      </w:pPr>
      <w:r w:rsidRPr="009E5707">
        <w:rPr>
          <w:rStyle w:val="FootnoteReference"/>
          <w:sz w:val="20"/>
          <w:szCs w:val="20"/>
        </w:rPr>
        <w:footnoteRef/>
      </w:r>
      <w:r w:rsidRPr="009E5707">
        <w:rPr>
          <w:sz w:val="20"/>
          <w:szCs w:val="20"/>
        </w:rPr>
        <w:t xml:space="preserve"> </w:t>
      </w:r>
      <w:r w:rsidR="00A80BB8">
        <w:rPr>
          <w:sz w:val="20"/>
          <w:szCs w:val="20"/>
        </w:rPr>
        <w:t xml:space="preserve">Ebd., 7: </w:t>
      </w:r>
      <w:r w:rsidRPr="009E5707">
        <w:rPr>
          <w:sz w:val="20"/>
          <w:szCs w:val="20"/>
          <w:lang w:val="en-CA"/>
        </w:rPr>
        <w:t>“If the water runneth, it holdeth clear, sweet and fresh; but stagnation turneth it into a noisome puddle”</w:t>
      </w:r>
      <w:r w:rsidR="00A80BB8">
        <w:rPr>
          <w:sz w:val="20"/>
          <w:szCs w:val="20"/>
          <w:lang w:val="en-CA"/>
        </w:rPr>
        <w:t>.</w:t>
      </w:r>
    </w:p>
  </w:footnote>
  <w:footnote w:id="28">
    <w:p w14:paraId="3CDD356F" w14:textId="3AC08BC5" w:rsidR="007D4A60" w:rsidRPr="009E5707" w:rsidRDefault="007D4A60" w:rsidP="007D4A60">
      <w:pPr>
        <w:pStyle w:val="FootnoteText"/>
      </w:pPr>
      <w:r w:rsidRPr="009E5707">
        <w:rPr>
          <w:rStyle w:val="FootnoteReference"/>
        </w:rPr>
        <w:footnoteRef/>
      </w:r>
      <w:r w:rsidRPr="009E5707">
        <w:t xml:space="preserve"> </w:t>
      </w:r>
      <w:r w:rsidR="00A80BB8">
        <w:t xml:space="preserve">Ebd., 74: </w:t>
      </w:r>
      <w:r w:rsidRPr="009E5707">
        <w:rPr>
          <w:lang w:val="en-CA"/>
        </w:rPr>
        <w:t xml:space="preserve">“A sluggard is qualified for no office, no calling, no station among men; he is a mere no-body; taking up room, pestering and clogging the World.” </w:t>
      </w:r>
    </w:p>
  </w:footnote>
  <w:footnote w:id="29">
    <w:p w14:paraId="0D57BCA4" w14:textId="6F12ED36" w:rsidR="007D4A60" w:rsidRPr="009E5707" w:rsidRDefault="007D4A60" w:rsidP="007D4A60">
      <w:pPr>
        <w:pStyle w:val="FootnoteText"/>
        <w:rPr>
          <w:lang w:val="en-CA"/>
        </w:rPr>
      </w:pPr>
      <w:r w:rsidRPr="009E5707">
        <w:rPr>
          <w:rStyle w:val="FootnoteReference"/>
        </w:rPr>
        <w:footnoteRef/>
      </w:r>
      <w:r w:rsidRPr="009E5707">
        <w:t xml:space="preserve"> </w:t>
      </w:r>
      <w:r w:rsidR="00A80BB8">
        <w:t xml:space="preserve">Ebd., 8: </w:t>
      </w:r>
      <w:r w:rsidRPr="009E5707">
        <w:rPr>
          <w:lang w:val="en-CA"/>
        </w:rPr>
        <w:t>“so by divine appointment we were originally designed for industry; God did not intend that man should live idly even in his best state; or should enjoy happiness without taking pains; but did provide work enough even in Paradise itself”</w:t>
      </w:r>
      <w:r w:rsidR="00A80BB8">
        <w:rPr>
          <w:lang w:val="en-CA"/>
        </w:rPr>
        <w:t>.</w:t>
      </w:r>
    </w:p>
  </w:footnote>
  <w:footnote w:id="30">
    <w:p w14:paraId="79ECA6D5" w14:textId="3D8354A0" w:rsidR="007D4A60" w:rsidRPr="009E5707" w:rsidRDefault="007D4A60" w:rsidP="007D4A60">
      <w:pPr>
        <w:rPr>
          <w:sz w:val="20"/>
          <w:szCs w:val="20"/>
          <w:lang w:val="en-CA"/>
        </w:rPr>
      </w:pPr>
      <w:r w:rsidRPr="009E5707">
        <w:rPr>
          <w:rStyle w:val="FootnoteReference"/>
          <w:sz w:val="20"/>
          <w:szCs w:val="20"/>
        </w:rPr>
        <w:footnoteRef/>
      </w:r>
      <w:r w:rsidRPr="009E5707">
        <w:rPr>
          <w:sz w:val="20"/>
          <w:szCs w:val="20"/>
        </w:rPr>
        <w:t xml:space="preserve"> </w:t>
      </w:r>
      <w:r w:rsidR="00A80BB8">
        <w:rPr>
          <w:sz w:val="20"/>
          <w:szCs w:val="20"/>
        </w:rPr>
        <w:t xml:space="preserve">Ebd., 9: </w:t>
      </w:r>
      <w:r w:rsidRPr="009E5707">
        <w:rPr>
          <w:sz w:val="20"/>
          <w:szCs w:val="20"/>
          <w:lang w:val="en-CA"/>
        </w:rPr>
        <w:t>“By our transgression and fall the necessity of industry (together with a difficulty of obtaining good, and avoiding evil) was increased to us; being ordained both as just punishment for our offence, and as an expedient remedy of our needs”</w:t>
      </w:r>
      <w:r w:rsidR="00A80BB8">
        <w:rPr>
          <w:sz w:val="20"/>
          <w:szCs w:val="20"/>
          <w:lang w:val="en-CA"/>
        </w:rPr>
        <w:t>.</w:t>
      </w:r>
    </w:p>
  </w:footnote>
  <w:footnote w:id="31">
    <w:p w14:paraId="06C92F9F" w14:textId="4D1F2C61" w:rsidR="007D4A60" w:rsidRPr="009E5707" w:rsidRDefault="007D4A60" w:rsidP="00A80BB8">
      <w:pPr>
        <w:rPr>
          <w:sz w:val="20"/>
          <w:szCs w:val="20"/>
          <w:lang w:val="de-DE"/>
        </w:rPr>
      </w:pPr>
      <w:r w:rsidRPr="009E5707">
        <w:rPr>
          <w:rStyle w:val="FootnoteReference"/>
          <w:sz w:val="20"/>
          <w:szCs w:val="20"/>
        </w:rPr>
        <w:footnoteRef/>
      </w:r>
      <w:r w:rsidRPr="009E5707">
        <w:rPr>
          <w:sz w:val="20"/>
          <w:szCs w:val="20"/>
          <w:lang w:val="de-DE"/>
        </w:rPr>
        <w:t xml:space="preserve"> </w:t>
      </w:r>
      <w:r w:rsidR="00A80BB8" w:rsidRPr="00A80BB8">
        <w:rPr>
          <w:sz w:val="20"/>
          <w:szCs w:val="20"/>
          <w:lang w:val="de-DE"/>
        </w:rPr>
        <w:t xml:space="preserve">Immanuel Kant: </w:t>
      </w:r>
      <w:r w:rsidR="00A80BB8" w:rsidRPr="00A80BB8">
        <w:rPr>
          <w:i/>
          <w:sz w:val="20"/>
          <w:szCs w:val="20"/>
          <w:lang w:val="de-DE"/>
        </w:rPr>
        <w:t>Eine Vorlesung Kants über Ethik. Im Auftrage der Kantgesellschaft herausgegeben von Paul Menzer</w:t>
      </w:r>
      <w:r w:rsidR="00A80BB8" w:rsidRPr="00A80BB8">
        <w:rPr>
          <w:sz w:val="20"/>
          <w:szCs w:val="20"/>
          <w:lang w:val="de-DE"/>
        </w:rPr>
        <w:t>. Berlin: Pan Verlag Rolf Heise, 1924</w:t>
      </w:r>
      <w:r w:rsidR="00A80BB8">
        <w:rPr>
          <w:sz w:val="20"/>
          <w:szCs w:val="20"/>
          <w:lang w:val="de-DE"/>
        </w:rPr>
        <w:t xml:space="preserve">, </w:t>
      </w:r>
      <w:r w:rsidRPr="009E5707">
        <w:rPr>
          <w:sz w:val="20"/>
          <w:szCs w:val="20"/>
          <w:lang w:val="de-DE"/>
        </w:rPr>
        <w:t>220</w:t>
      </w:r>
      <w:r w:rsidR="00A80BB8">
        <w:rPr>
          <w:sz w:val="20"/>
          <w:szCs w:val="20"/>
          <w:lang w:val="de-DE"/>
        </w:rPr>
        <w:t xml:space="preserve">. </w:t>
      </w:r>
    </w:p>
  </w:footnote>
  <w:footnote w:id="32">
    <w:p w14:paraId="4DF18025" w14:textId="76F63599" w:rsidR="007D4A60" w:rsidRPr="009E5707" w:rsidRDefault="007D4A60" w:rsidP="007D4A60">
      <w:pPr>
        <w:rPr>
          <w:sz w:val="20"/>
          <w:szCs w:val="20"/>
          <w:lang w:val="de-DE"/>
        </w:rPr>
      </w:pPr>
      <w:r w:rsidRPr="009E5707">
        <w:rPr>
          <w:rStyle w:val="FootnoteReference"/>
          <w:sz w:val="20"/>
          <w:szCs w:val="20"/>
        </w:rPr>
        <w:footnoteRef/>
      </w:r>
      <w:r w:rsidRPr="009E5707">
        <w:rPr>
          <w:sz w:val="20"/>
          <w:szCs w:val="20"/>
          <w:lang w:val="de-DE"/>
        </w:rPr>
        <w:t xml:space="preserve"> „Ja wenn wir weiter gehen wollen, so ist auch das schon einer Pflicht gegen sich selbst zuwider, wenn man Wohltaten annimmt, denn der Wohltaten annimmt, macht Schulden, die er niemals bezahlen kann, er kann dem, der sie ihm erweist, niemals zuvorkommen, weil er der erste war, der ihm aus freien Stücken solches erteilte, erzeigt man ihm wieder Wohltaten, so tut man es nur insofern, weil er einem vorher welche erzeigt hat; also bleibt man ihm immer Dank schuldig; wer wird sich aber verschulden?“</w:t>
      </w:r>
      <w:r w:rsidRPr="009E5707">
        <w:rPr>
          <w:rStyle w:val="FootnoteReference"/>
          <w:sz w:val="20"/>
          <w:szCs w:val="20"/>
          <w:lang w:val="de-DE"/>
        </w:rPr>
        <w:t xml:space="preserve"> </w:t>
      </w:r>
      <w:r w:rsidRPr="009E5707">
        <w:rPr>
          <w:sz w:val="20"/>
          <w:szCs w:val="20"/>
          <w:lang w:val="de-DE"/>
        </w:rPr>
        <w:t>(</w:t>
      </w:r>
      <w:r w:rsidR="00A80BB8">
        <w:rPr>
          <w:sz w:val="20"/>
          <w:szCs w:val="20"/>
          <w:lang w:val="de-DE"/>
        </w:rPr>
        <w:t>Ebd</w:t>
      </w:r>
      <w:r w:rsidRPr="009E5707">
        <w:rPr>
          <w:sz w:val="20"/>
          <w:szCs w:val="20"/>
          <w:lang w:val="de-DE"/>
        </w:rPr>
        <w:t>.</w:t>
      </w:r>
      <w:r w:rsidR="00A80BB8">
        <w:rPr>
          <w:sz w:val="20"/>
          <w:szCs w:val="20"/>
          <w:lang w:val="de-DE"/>
        </w:rPr>
        <w:t xml:space="preserve">, </w:t>
      </w:r>
      <w:r w:rsidRPr="009E5707">
        <w:rPr>
          <w:sz w:val="20"/>
          <w:szCs w:val="20"/>
          <w:lang w:val="de-DE"/>
        </w:rPr>
        <w:t xml:space="preserve">148) Zur Auffassung des </w:t>
      </w:r>
      <w:r w:rsidR="00A80BB8">
        <w:rPr>
          <w:sz w:val="20"/>
          <w:szCs w:val="20"/>
          <w:lang w:val="de-DE"/>
        </w:rPr>
        <w:t>S</w:t>
      </w:r>
      <w:r w:rsidRPr="009E5707">
        <w:rPr>
          <w:sz w:val="20"/>
          <w:szCs w:val="20"/>
          <w:lang w:val="de-DE"/>
        </w:rPr>
        <w:t>ich</w:t>
      </w:r>
      <w:r w:rsidR="00A80BB8">
        <w:rPr>
          <w:sz w:val="20"/>
          <w:szCs w:val="20"/>
          <w:lang w:val="de-DE"/>
        </w:rPr>
        <w:t>-</w:t>
      </w:r>
      <w:r w:rsidRPr="009E5707">
        <w:rPr>
          <w:sz w:val="20"/>
          <w:szCs w:val="20"/>
          <w:lang w:val="de-DE"/>
        </w:rPr>
        <w:t>nicht</w:t>
      </w:r>
      <w:r w:rsidR="00A80BB8">
        <w:rPr>
          <w:sz w:val="20"/>
          <w:szCs w:val="20"/>
          <w:lang w:val="de-DE"/>
        </w:rPr>
        <w:t>s-</w:t>
      </w:r>
      <w:r w:rsidRPr="009E5707">
        <w:rPr>
          <w:sz w:val="20"/>
          <w:szCs w:val="20"/>
          <w:lang w:val="de-DE"/>
        </w:rPr>
        <w:t>schenken</w:t>
      </w:r>
      <w:r w:rsidR="00A80BB8">
        <w:rPr>
          <w:sz w:val="20"/>
          <w:szCs w:val="20"/>
          <w:lang w:val="de-DE"/>
        </w:rPr>
        <w:t>-</w:t>
      </w:r>
      <w:r w:rsidRPr="009E5707">
        <w:rPr>
          <w:sz w:val="20"/>
          <w:szCs w:val="20"/>
          <w:lang w:val="de-DE"/>
        </w:rPr>
        <w:t>lassen</w:t>
      </w:r>
      <w:r w:rsidR="00A80BB8">
        <w:rPr>
          <w:sz w:val="20"/>
          <w:szCs w:val="20"/>
          <w:lang w:val="de-DE"/>
        </w:rPr>
        <w:t>-K</w:t>
      </w:r>
      <w:r w:rsidRPr="009E5707">
        <w:rPr>
          <w:sz w:val="20"/>
          <w:szCs w:val="20"/>
          <w:lang w:val="de-DE"/>
        </w:rPr>
        <w:t xml:space="preserve">önnen siehe die treffenden Bemerkungen Max Schelers in </w:t>
      </w:r>
      <w:r w:rsidR="00A80BB8">
        <w:rPr>
          <w:sz w:val="20"/>
          <w:szCs w:val="20"/>
          <w:lang w:val="de-DE"/>
        </w:rPr>
        <w:t>„</w:t>
      </w:r>
      <w:r w:rsidRPr="009E5707">
        <w:rPr>
          <w:sz w:val="20"/>
          <w:szCs w:val="20"/>
          <w:lang w:val="de-DE"/>
        </w:rPr>
        <w:t>Zur Rehabilitierung der Tugend</w:t>
      </w:r>
      <w:r w:rsidR="00A80BB8">
        <w:rPr>
          <w:sz w:val="20"/>
          <w:szCs w:val="20"/>
          <w:lang w:val="de-DE"/>
        </w:rPr>
        <w:t>“</w:t>
      </w:r>
      <w:r w:rsidRPr="009E5707">
        <w:rPr>
          <w:sz w:val="20"/>
          <w:szCs w:val="20"/>
          <w:lang w:val="de-DE"/>
        </w:rPr>
        <w:t xml:space="preserve"> </w:t>
      </w:r>
      <w:r w:rsidR="00A80BB8">
        <w:rPr>
          <w:sz w:val="20"/>
          <w:szCs w:val="20"/>
          <w:lang w:val="de-DE"/>
        </w:rPr>
        <w:t>i</w:t>
      </w:r>
      <w:r w:rsidRPr="009E5707">
        <w:rPr>
          <w:sz w:val="20"/>
          <w:szCs w:val="20"/>
          <w:lang w:val="de-DE"/>
        </w:rPr>
        <w:t xml:space="preserve">n: </w:t>
      </w:r>
      <w:r w:rsidRPr="00A80BB8">
        <w:rPr>
          <w:i/>
          <w:sz w:val="20"/>
          <w:szCs w:val="20"/>
          <w:lang w:val="de-DE"/>
        </w:rPr>
        <w:t>Vom Umsturz der Werte. Abhandlungen und Aufsätze</w:t>
      </w:r>
      <w:r w:rsidRPr="009E5707">
        <w:rPr>
          <w:sz w:val="20"/>
          <w:szCs w:val="20"/>
          <w:lang w:val="de-DE"/>
        </w:rPr>
        <w:t xml:space="preserve">. Bern: Francke, 1955, 13-31, </w:t>
      </w:r>
      <w:r w:rsidR="00A80BB8">
        <w:rPr>
          <w:sz w:val="20"/>
          <w:szCs w:val="20"/>
          <w:lang w:val="de-DE"/>
        </w:rPr>
        <w:t xml:space="preserve">hier: </w:t>
      </w:r>
      <w:r w:rsidRPr="009E5707">
        <w:rPr>
          <w:sz w:val="20"/>
          <w:szCs w:val="20"/>
          <w:lang w:val="de-DE"/>
        </w:rPr>
        <w:t>22.</w:t>
      </w:r>
    </w:p>
  </w:footnote>
  <w:footnote w:id="33">
    <w:p w14:paraId="44CDEC79" w14:textId="0F99E434" w:rsidR="007D4A60" w:rsidRPr="009E5707" w:rsidRDefault="007D4A60" w:rsidP="007D4A60">
      <w:pPr>
        <w:pStyle w:val="FootnoteText"/>
        <w:rPr>
          <w:lang w:val="de-DE"/>
        </w:rPr>
      </w:pPr>
      <w:r w:rsidRPr="009E5707">
        <w:rPr>
          <w:rStyle w:val="FootnoteReference"/>
        </w:rPr>
        <w:footnoteRef/>
      </w:r>
      <w:r w:rsidRPr="009E5707">
        <w:rPr>
          <w:lang w:val="de-DE"/>
        </w:rPr>
        <w:t xml:space="preserve"> </w:t>
      </w:r>
      <w:r w:rsidR="00A80BB8" w:rsidRPr="00A80BB8">
        <w:rPr>
          <w:lang w:val="de-DE"/>
        </w:rPr>
        <w:t xml:space="preserve">Immanuel Kant: </w:t>
      </w:r>
      <w:r w:rsidR="00A80BB8" w:rsidRPr="00A80BB8">
        <w:rPr>
          <w:i/>
          <w:lang w:val="de-DE"/>
        </w:rPr>
        <w:t>Eine Vorlesung Kants über Ethik. Im Auftrage der Kantgesellschaft herausgegeben von Paul Menzer</w:t>
      </w:r>
      <w:r w:rsidR="00A80BB8" w:rsidRPr="00A80BB8">
        <w:rPr>
          <w:lang w:val="de-DE"/>
        </w:rPr>
        <w:t>. Berlin: Pan Verlag Rolf Heise, 1924</w:t>
      </w:r>
      <w:r w:rsidR="00A80BB8">
        <w:rPr>
          <w:lang w:val="de-DE"/>
        </w:rPr>
        <w:t xml:space="preserve">, </w:t>
      </w:r>
      <w:r w:rsidR="00C23DDF" w:rsidRPr="009E5707">
        <w:rPr>
          <w:lang w:val="de-DE"/>
        </w:rPr>
        <w:t xml:space="preserve">201. </w:t>
      </w:r>
      <w:r w:rsidRPr="009E5707">
        <w:rPr>
          <w:lang w:val="de-DE"/>
        </w:rPr>
        <w:t>In einer anderen Nachschrift der Vorlesung hei</w:t>
      </w:r>
      <w:r w:rsidR="009D2505">
        <w:rPr>
          <w:lang w:val="de-DE"/>
        </w:rPr>
        <w:t>ß</w:t>
      </w:r>
      <w:r w:rsidRPr="009E5707">
        <w:rPr>
          <w:lang w:val="de-DE"/>
        </w:rPr>
        <w:t xml:space="preserve">t es </w:t>
      </w:r>
      <w:r w:rsidR="00A80BB8">
        <w:rPr>
          <w:lang w:val="de-DE"/>
        </w:rPr>
        <w:t xml:space="preserve">wörtlich </w:t>
      </w:r>
      <w:r w:rsidR="00D058CE">
        <w:rPr>
          <w:lang w:val="de-DE"/>
        </w:rPr>
        <w:t>„</w:t>
      </w:r>
      <w:r w:rsidRPr="009E5707">
        <w:rPr>
          <w:lang w:val="de-DE"/>
        </w:rPr>
        <w:t>horror vacui</w:t>
      </w:r>
      <w:r w:rsidR="00D058CE">
        <w:rPr>
          <w:lang w:val="de-DE"/>
        </w:rPr>
        <w:t>“ (</w:t>
      </w:r>
      <w:r w:rsidRPr="009E5707">
        <w:rPr>
          <w:lang w:val="de-DE"/>
        </w:rPr>
        <w:t xml:space="preserve">Immanuel Kant: </w:t>
      </w:r>
      <w:r w:rsidRPr="00D058CE">
        <w:rPr>
          <w:i/>
          <w:lang w:val="de-DE"/>
        </w:rPr>
        <w:t>Vorlesung zur Moralphilosophie. Herausgegeben von Werner Stark mit einer Einleitung von Manfred Kühn</w:t>
      </w:r>
      <w:r w:rsidRPr="009E5707">
        <w:rPr>
          <w:lang w:val="de-DE"/>
        </w:rPr>
        <w:t>. Berlin: Walter de Gruyter, 2004, 234</w:t>
      </w:r>
      <w:r w:rsidR="00D058CE">
        <w:rPr>
          <w:lang w:val="de-DE"/>
        </w:rPr>
        <w:t>)</w:t>
      </w:r>
      <w:r w:rsidR="009D2505">
        <w:rPr>
          <w:lang w:val="de-DE"/>
        </w:rPr>
        <w:t>.</w:t>
      </w:r>
    </w:p>
  </w:footnote>
  <w:footnote w:id="34">
    <w:p w14:paraId="2665D6A6" w14:textId="66C4A96C" w:rsidR="00C23DDF" w:rsidRPr="009E5707" w:rsidRDefault="00C23DDF">
      <w:pPr>
        <w:pStyle w:val="FootnoteText"/>
        <w:rPr>
          <w:lang w:val="de-DE"/>
        </w:rPr>
      </w:pPr>
      <w:r w:rsidRPr="009E5707">
        <w:rPr>
          <w:rStyle w:val="FootnoteReference"/>
        </w:rPr>
        <w:footnoteRef/>
      </w:r>
      <w:r w:rsidRPr="009E5707">
        <w:rPr>
          <w:lang w:val="de-DE"/>
        </w:rPr>
        <w:t xml:space="preserve"> </w:t>
      </w:r>
      <w:r w:rsidR="00D058CE" w:rsidRPr="00A80BB8">
        <w:rPr>
          <w:lang w:val="de-DE"/>
        </w:rPr>
        <w:t xml:space="preserve">Immanuel Kant: </w:t>
      </w:r>
      <w:r w:rsidR="00D058CE" w:rsidRPr="00A80BB8">
        <w:rPr>
          <w:i/>
          <w:lang w:val="de-DE"/>
        </w:rPr>
        <w:t>Eine Vorlesung Kants über Ethik. Im Auftrage der Kantgesellschaft herausgegeben von Paul Menzer</w:t>
      </w:r>
      <w:r w:rsidR="00D058CE" w:rsidRPr="00A80BB8">
        <w:rPr>
          <w:lang w:val="de-DE"/>
        </w:rPr>
        <w:t>. Berlin: Pan Verlag Rolf Heise, 1924</w:t>
      </w:r>
      <w:r w:rsidR="00D058CE">
        <w:rPr>
          <w:lang w:val="de-DE"/>
        </w:rPr>
        <w:t xml:space="preserve">, </w:t>
      </w:r>
      <w:r w:rsidR="00D058CE" w:rsidRPr="009E5707">
        <w:rPr>
          <w:lang w:val="de-DE"/>
        </w:rPr>
        <w:t>201</w:t>
      </w:r>
      <w:r w:rsidR="00D058CE">
        <w:rPr>
          <w:lang w:val="de-DE"/>
        </w:rPr>
        <w:t>.</w:t>
      </w:r>
    </w:p>
  </w:footnote>
  <w:footnote w:id="35">
    <w:p w14:paraId="2AF5C06A" w14:textId="34AD2E7B" w:rsidR="007D4A60" w:rsidRPr="009E5707" w:rsidRDefault="007D4A60" w:rsidP="007D4A60">
      <w:pPr>
        <w:rPr>
          <w:sz w:val="20"/>
          <w:szCs w:val="20"/>
          <w:lang w:val="de-DE"/>
        </w:rPr>
      </w:pPr>
      <w:r w:rsidRPr="009E5707">
        <w:rPr>
          <w:rStyle w:val="FootnoteReference"/>
          <w:sz w:val="20"/>
          <w:szCs w:val="20"/>
        </w:rPr>
        <w:footnoteRef/>
      </w:r>
      <w:r w:rsidRPr="009E5707">
        <w:rPr>
          <w:sz w:val="20"/>
          <w:szCs w:val="20"/>
          <w:lang w:val="de-DE"/>
        </w:rPr>
        <w:t xml:space="preserve"> J. M. Guyau: </w:t>
      </w:r>
      <w:r w:rsidRPr="00D058CE">
        <w:rPr>
          <w:i/>
          <w:sz w:val="20"/>
          <w:szCs w:val="20"/>
          <w:lang w:val="de-DE"/>
        </w:rPr>
        <w:t>Sittlichkeit ohne „Pflicht“ (Esquisse d’une Morales ans Obligation ni Sanction). Ins Deutsche übersetzt von Elisabeth Schwarz</w:t>
      </w:r>
      <w:r w:rsidRPr="009E5707">
        <w:rPr>
          <w:sz w:val="20"/>
          <w:szCs w:val="20"/>
          <w:lang w:val="de-DE"/>
        </w:rPr>
        <w:t>. Leipzig: Verlag von Dr. Werner Klinkhardt</w:t>
      </w:r>
      <w:r w:rsidR="00D058CE">
        <w:rPr>
          <w:sz w:val="20"/>
          <w:szCs w:val="20"/>
          <w:lang w:val="de-DE"/>
        </w:rPr>
        <w:t xml:space="preserve">, 1909, </w:t>
      </w:r>
      <w:r w:rsidR="00C23DDF" w:rsidRPr="009E5707">
        <w:rPr>
          <w:sz w:val="20"/>
          <w:szCs w:val="20"/>
          <w:lang w:val="de-DE"/>
        </w:rPr>
        <w:t>272</w:t>
      </w:r>
      <w:r w:rsidR="00D058CE">
        <w:rPr>
          <w:sz w:val="20"/>
          <w:szCs w:val="20"/>
          <w:lang w:val="de-DE"/>
        </w:rPr>
        <w:t>.</w:t>
      </w:r>
      <w:r w:rsidR="00C23DDF" w:rsidRPr="009E5707">
        <w:rPr>
          <w:sz w:val="20"/>
          <w:szCs w:val="20"/>
          <w:lang w:val="de-DE"/>
        </w:rPr>
        <w:t xml:space="preserve"> </w:t>
      </w:r>
    </w:p>
  </w:footnote>
  <w:footnote w:id="36">
    <w:p w14:paraId="23200C39" w14:textId="69CF455B" w:rsidR="00026833" w:rsidRPr="00026833" w:rsidRDefault="00026833">
      <w:pPr>
        <w:pStyle w:val="FootnoteText"/>
        <w:rPr>
          <w:lang w:val="de-DE"/>
        </w:rPr>
      </w:pPr>
      <w:r>
        <w:rPr>
          <w:rStyle w:val="FootnoteReference"/>
        </w:rPr>
        <w:footnoteRef/>
      </w:r>
      <w:r w:rsidRPr="00026833">
        <w:rPr>
          <w:lang w:val="de-DE"/>
        </w:rPr>
        <w:t xml:space="preserve"> </w:t>
      </w:r>
      <w:r w:rsidRPr="009E5707">
        <w:rPr>
          <w:lang w:val="de-DE"/>
        </w:rPr>
        <w:t xml:space="preserve">„So kamen wir also zu unserer grundlegenden Formel: </w:t>
      </w:r>
      <w:r w:rsidRPr="009E5707">
        <w:rPr>
          <w:i/>
          <w:lang w:val="de-DE"/>
        </w:rPr>
        <w:t>Pflicht</w:t>
      </w:r>
      <w:r w:rsidRPr="009E5707">
        <w:rPr>
          <w:lang w:val="de-DE"/>
        </w:rPr>
        <w:t xml:space="preserve"> leitet sich aus </w:t>
      </w:r>
      <w:r w:rsidRPr="009E5707">
        <w:rPr>
          <w:i/>
          <w:lang w:val="de-DE"/>
        </w:rPr>
        <w:t>Kraft</w:t>
      </w:r>
      <w:r w:rsidRPr="009E5707">
        <w:rPr>
          <w:lang w:val="de-DE"/>
        </w:rPr>
        <w:t xml:space="preserve"> ab, die notwendig zur Tat drängt.“ (</w:t>
      </w:r>
      <w:r>
        <w:rPr>
          <w:lang w:val="de-DE"/>
        </w:rPr>
        <w:t xml:space="preserve">Ebd., </w:t>
      </w:r>
      <w:r w:rsidRPr="009E5707">
        <w:rPr>
          <w:lang w:val="de-DE"/>
        </w:rPr>
        <w:t>273)</w:t>
      </w:r>
    </w:p>
  </w:footnote>
  <w:footnote w:id="37">
    <w:p w14:paraId="4F38EF98" w14:textId="5469C2AD" w:rsidR="00C23DDF" w:rsidRPr="009E5707" w:rsidRDefault="00C23DDF">
      <w:pPr>
        <w:pStyle w:val="FootnoteText"/>
        <w:rPr>
          <w:lang w:val="de-DE"/>
        </w:rPr>
      </w:pPr>
      <w:r w:rsidRPr="009E5707">
        <w:rPr>
          <w:rStyle w:val="FootnoteReference"/>
        </w:rPr>
        <w:footnoteRef/>
      </w:r>
      <w:r w:rsidRPr="00D058CE">
        <w:rPr>
          <w:lang w:val="de-DE"/>
        </w:rPr>
        <w:t xml:space="preserve"> </w:t>
      </w:r>
      <w:r w:rsidR="00D058CE">
        <w:rPr>
          <w:lang w:val="de-DE"/>
        </w:rPr>
        <w:t xml:space="preserve">Ebd., </w:t>
      </w:r>
      <w:r w:rsidRPr="009E5707">
        <w:rPr>
          <w:lang w:val="de-DE"/>
        </w:rPr>
        <w:t>116-117</w:t>
      </w:r>
      <w:r w:rsidR="00D058CE">
        <w:rPr>
          <w:lang w:val="de-DE"/>
        </w:rPr>
        <w:t>.</w:t>
      </w:r>
    </w:p>
  </w:footnote>
  <w:footnote w:id="38">
    <w:p w14:paraId="1C36312D" w14:textId="0A157D89" w:rsidR="00E86EB5" w:rsidRPr="00E86EB5" w:rsidRDefault="00E86EB5">
      <w:pPr>
        <w:pStyle w:val="FootnoteText"/>
        <w:rPr>
          <w:lang w:val="de-DE"/>
        </w:rPr>
      </w:pPr>
      <w:r>
        <w:rPr>
          <w:rStyle w:val="FootnoteReference"/>
        </w:rPr>
        <w:footnoteRef/>
      </w:r>
      <w:r w:rsidRPr="00E86EB5">
        <w:rPr>
          <w:lang w:val="de-DE"/>
        </w:rPr>
        <w:t xml:space="preserve"> </w:t>
      </w:r>
      <w:r>
        <w:rPr>
          <w:lang w:val="de-DE"/>
        </w:rPr>
        <w:t xml:space="preserve">Ebd., 277. </w:t>
      </w:r>
    </w:p>
  </w:footnote>
  <w:footnote w:id="39">
    <w:p w14:paraId="30E36FE9" w14:textId="51C143EC" w:rsidR="007D4A60" w:rsidRPr="009E5707" w:rsidRDefault="007D4A60" w:rsidP="007D4A60">
      <w:pPr>
        <w:pStyle w:val="FootnoteText"/>
        <w:rPr>
          <w:lang w:val="de-DE"/>
        </w:rPr>
      </w:pPr>
      <w:r w:rsidRPr="009E5707">
        <w:rPr>
          <w:rStyle w:val="FootnoteReference"/>
        </w:rPr>
        <w:footnoteRef/>
      </w:r>
      <w:r w:rsidRPr="009E5707">
        <w:rPr>
          <w:lang w:val="de-DE"/>
        </w:rPr>
        <w:t xml:space="preserve"> P. Nickl: </w:t>
      </w:r>
      <w:r w:rsidR="00D058CE">
        <w:rPr>
          <w:lang w:val="de-DE"/>
        </w:rPr>
        <w:t>„</w:t>
      </w:r>
      <w:r w:rsidRPr="009E5707">
        <w:rPr>
          <w:lang w:val="de-DE"/>
        </w:rPr>
        <w:t>Quietismus</w:t>
      </w:r>
      <w:r w:rsidR="00D058CE">
        <w:rPr>
          <w:lang w:val="de-DE"/>
        </w:rPr>
        <w:t>, Hesychasmus“</w:t>
      </w:r>
      <w:r w:rsidRPr="009E5707">
        <w:rPr>
          <w:lang w:val="de-DE"/>
        </w:rPr>
        <w:t xml:space="preserve">. </w:t>
      </w:r>
      <w:r w:rsidR="00D058CE" w:rsidRPr="009E5707">
        <w:rPr>
          <w:i/>
          <w:lang w:val="de-DE"/>
        </w:rPr>
        <w:t xml:space="preserve">Historisches Wörterbuch der Philosophie. Band </w:t>
      </w:r>
      <w:r w:rsidR="00D058CE">
        <w:rPr>
          <w:i/>
          <w:lang w:val="de-DE"/>
        </w:rPr>
        <w:t>7</w:t>
      </w:r>
      <w:r w:rsidR="00D058CE" w:rsidRPr="009E5707">
        <w:rPr>
          <w:i/>
          <w:lang w:val="de-DE"/>
        </w:rPr>
        <w:t xml:space="preserve">: </w:t>
      </w:r>
      <w:r w:rsidR="00D058CE">
        <w:rPr>
          <w:i/>
          <w:lang w:val="de-DE"/>
        </w:rPr>
        <w:t>P</w:t>
      </w:r>
      <w:r w:rsidR="00D058CE" w:rsidRPr="009E5707">
        <w:rPr>
          <w:i/>
          <w:lang w:val="de-DE"/>
        </w:rPr>
        <w:t>-</w:t>
      </w:r>
      <w:r w:rsidR="00D058CE">
        <w:rPr>
          <w:i/>
          <w:lang w:val="de-DE"/>
        </w:rPr>
        <w:t>Q</w:t>
      </w:r>
      <w:r w:rsidR="00D058CE" w:rsidRPr="009E5707">
        <w:rPr>
          <w:lang w:val="de-DE"/>
        </w:rPr>
        <w:t xml:space="preserve">. Basel: Schwabe, </w:t>
      </w:r>
      <w:r w:rsidR="00D058CE">
        <w:rPr>
          <w:lang w:val="de-DE"/>
        </w:rPr>
        <w:t>1989</w:t>
      </w:r>
      <w:r w:rsidRPr="009E5707">
        <w:rPr>
          <w:lang w:val="de-DE"/>
        </w:rPr>
        <w:t>, 1834-1837, hier: 1835.</w:t>
      </w:r>
    </w:p>
  </w:footnote>
  <w:footnote w:id="40">
    <w:p w14:paraId="53F279CB" w14:textId="444F8D2B" w:rsidR="00C23DDF" w:rsidRPr="00D058CE" w:rsidRDefault="00C23DDF" w:rsidP="00C23DDF">
      <w:pPr>
        <w:rPr>
          <w:sz w:val="20"/>
          <w:szCs w:val="20"/>
          <w:lang w:val="en-CA"/>
        </w:rPr>
      </w:pPr>
      <w:r w:rsidRPr="009E5707">
        <w:rPr>
          <w:rStyle w:val="FootnoteReference"/>
          <w:sz w:val="20"/>
          <w:szCs w:val="20"/>
        </w:rPr>
        <w:footnoteRef/>
      </w:r>
      <w:r w:rsidRPr="00EA4865">
        <w:rPr>
          <w:sz w:val="20"/>
          <w:szCs w:val="20"/>
          <w:lang w:val="de-DE"/>
        </w:rPr>
        <w:t xml:space="preserve"> </w:t>
      </w:r>
      <w:r w:rsidR="00D058CE" w:rsidRPr="00EA4865">
        <w:rPr>
          <w:sz w:val="20"/>
          <w:szCs w:val="20"/>
          <w:lang w:val="de-DE"/>
        </w:rPr>
        <w:t>[</w:t>
      </w:r>
      <w:r w:rsidRPr="00EA4865">
        <w:rPr>
          <w:sz w:val="20"/>
          <w:szCs w:val="20"/>
          <w:lang w:val="de-DE"/>
        </w:rPr>
        <w:t>„l’homme n’est rien d’autre ques on projet, il n’existe que dans la mesure o</w:t>
      </w:r>
      <w:r w:rsidRPr="00EA4865">
        <w:rPr>
          <w:rFonts w:ascii="Calibri" w:hAnsi="Calibri" w:cs="Calibri"/>
          <w:sz w:val="20"/>
          <w:szCs w:val="20"/>
          <w:lang w:val="de-DE"/>
        </w:rPr>
        <w:t>ù</w:t>
      </w:r>
      <w:r w:rsidRPr="00EA4865">
        <w:rPr>
          <w:sz w:val="20"/>
          <w:szCs w:val="20"/>
          <w:lang w:val="de-DE"/>
        </w:rPr>
        <w:t xml:space="preserve"> il se r</w:t>
      </w:r>
      <w:r w:rsidRPr="00EA4865">
        <w:rPr>
          <w:rFonts w:ascii="Calibri" w:hAnsi="Calibri" w:cs="Calibri"/>
          <w:sz w:val="20"/>
          <w:szCs w:val="20"/>
          <w:lang w:val="de-DE"/>
        </w:rPr>
        <w:t>é</w:t>
      </w:r>
      <w:r w:rsidRPr="00EA4865">
        <w:rPr>
          <w:sz w:val="20"/>
          <w:szCs w:val="20"/>
          <w:lang w:val="de-DE"/>
        </w:rPr>
        <w:t>alise, il n’est donc rien d’autre que l’ensemble de ses actes“</w:t>
      </w:r>
      <w:r w:rsidR="00D058CE" w:rsidRPr="00EA4865">
        <w:rPr>
          <w:sz w:val="20"/>
          <w:szCs w:val="20"/>
          <w:lang w:val="de-DE"/>
        </w:rPr>
        <w:t>]</w:t>
      </w:r>
      <w:r w:rsidRPr="00EA4865">
        <w:rPr>
          <w:sz w:val="20"/>
          <w:szCs w:val="20"/>
          <w:lang w:val="de-DE"/>
        </w:rPr>
        <w:t xml:space="preserve"> Jean-Paul Sartre: </w:t>
      </w:r>
      <w:r w:rsidRPr="00EA4865">
        <w:rPr>
          <w:i/>
          <w:sz w:val="20"/>
          <w:szCs w:val="20"/>
          <w:lang w:val="de-DE"/>
        </w:rPr>
        <w:t>L’Existentialisme est un humanisme</w:t>
      </w:r>
      <w:r w:rsidRPr="00EA4865">
        <w:rPr>
          <w:sz w:val="20"/>
          <w:szCs w:val="20"/>
          <w:lang w:val="de-DE"/>
        </w:rPr>
        <w:t xml:space="preserve">. </w:t>
      </w:r>
      <w:r w:rsidRPr="00D058CE">
        <w:rPr>
          <w:sz w:val="20"/>
          <w:szCs w:val="20"/>
          <w:lang w:val="en-CA"/>
        </w:rPr>
        <w:t xml:space="preserve">Paris: Les </w:t>
      </w:r>
      <w:r w:rsidRPr="00D058CE">
        <w:rPr>
          <w:rFonts w:ascii="Calibri" w:hAnsi="Calibri" w:cs="Calibri"/>
          <w:sz w:val="20"/>
          <w:szCs w:val="20"/>
          <w:lang w:val="en-CA"/>
        </w:rPr>
        <w:t>É</w:t>
      </w:r>
      <w:r w:rsidRPr="00D058CE">
        <w:rPr>
          <w:sz w:val="20"/>
          <w:szCs w:val="20"/>
          <w:lang w:val="en-CA"/>
        </w:rPr>
        <w:t>ditions Nagel, 1966, 55</w:t>
      </w:r>
      <w:r w:rsidR="00D058CE" w:rsidRPr="00D058CE">
        <w:rPr>
          <w:sz w:val="20"/>
          <w:szCs w:val="20"/>
          <w:lang w:val="en-CA"/>
        </w:rPr>
        <w:t>.</w:t>
      </w:r>
    </w:p>
  </w:footnote>
  <w:footnote w:id="41">
    <w:p w14:paraId="580DDB90" w14:textId="5228FDD8" w:rsidR="00C23DDF" w:rsidRPr="009E5707" w:rsidRDefault="00C23DDF">
      <w:pPr>
        <w:pStyle w:val="FootnoteText"/>
        <w:rPr>
          <w:lang w:val="en-CA"/>
        </w:rPr>
      </w:pPr>
      <w:r w:rsidRPr="009E5707">
        <w:rPr>
          <w:rStyle w:val="FootnoteReference"/>
        </w:rPr>
        <w:footnoteRef/>
      </w:r>
      <w:r w:rsidRPr="009E5707">
        <w:rPr>
          <w:lang w:val="en-CA"/>
        </w:rPr>
        <w:t xml:space="preserve"> </w:t>
      </w:r>
      <w:r w:rsidR="00D058CE">
        <w:rPr>
          <w:lang w:val="en-CA"/>
        </w:rPr>
        <w:t>[</w:t>
      </w:r>
      <w:r w:rsidRPr="009E5707">
        <w:rPr>
          <w:lang w:val="en-CA"/>
        </w:rPr>
        <w:t>„justement a l’oppos</w:t>
      </w:r>
      <w:r w:rsidRPr="009E5707">
        <w:rPr>
          <w:rFonts w:ascii="Calibri" w:hAnsi="Calibri" w:cs="Calibri"/>
          <w:lang w:val="en-CA"/>
        </w:rPr>
        <w:t xml:space="preserve">é du </w:t>
      </w:r>
      <w:proofErr w:type="gramStart"/>
      <w:r w:rsidRPr="009E5707">
        <w:rPr>
          <w:rFonts w:ascii="Calibri" w:hAnsi="Calibri" w:cs="Calibri"/>
          <w:lang w:val="en-CA"/>
        </w:rPr>
        <w:t>quiétisme“</w:t>
      </w:r>
      <w:proofErr w:type="gramEnd"/>
      <w:r w:rsidR="00D058CE">
        <w:rPr>
          <w:rFonts w:ascii="Calibri" w:hAnsi="Calibri" w:cs="Calibri"/>
          <w:lang w:val="en-CA"/>
        </w:rPr>
        <w:t xml:space="preserve">] Ebd., </w:t>
      </w:r>
      <w:r w:rsidRPr="009E5707">
        <w:rPr>
          <w:rFonts w:ascii="Calibri" w:hAnsi="Calibri" w:cs="Calibri"/>
          <w:lang w:val="en-CA"/>
        </w:rPr>
        <w:t>55</w:t>
      </w:r>
      <w:r w:rsidR="00D058CE">
        <w:rPr>
          <w:rFonts w:ascii="Calibri" w:hAnsi="Calibri" w:cs="Calibri"/>
          <w:lang w:val="en-CA"/>
        </w:rPr>
        <w:t>.</w:t>
      </w:r>
    </w:p>
  </w:footnote>
  <w:footnote w:id="42">
    <w:p w14:paraId="2A0EC027" w14:textId="6C198CFE" w:rsidR="00C23DDF" w:rsidRPr="009E5707" w:rsidRDefault="00C23DDF">
      <w:pPr>
        <w:pStyle w:val="FootnoteText"/>
        <w:rPr>
          <w:lang w:val="en-CA"/>
        </w:rPr>
      </w:pPr>
      <w:r w:rsidRPr="009E5707">
        <w:rPr>
          <w:rStyle w:val="FootnoteReference"/>
        </w:rPr>
        <w:footnoteRef/>
      </w:r>
      <w:r w:rsidRPr="009E5707">
        <w:rPr>
          <w:lang w:val="en-CA"/>
        </w:rPr>
        <w:t xml:space="preserve"> </w:t>
      </w:r>
      <w:r w:rsidR="00D058CE">
        <w:rPr>
          <w:lang w:val="en-CA"/>
        </w:rPr>
        <w:t>[</w:t>
      </w:r>
      <w:r w:rsidRPr="009E5707">
        <w:rPr>
          <w:lang w:val="en-CA"/>
        </w:rPr>
        <w:t xml:space="preserve">„Vous voyez qu’il ne peut pas </w:t>
      </w:r>
      <w:r w:rsidRPr="009E5707">
        <w:rPr>
          <w:rFonts w:ascii="Calibri" w:hAnsi="Calibri" w:cs="Calibri"/>
          <w:lang w:val="en-CA"/>
        </w:rPr>
        <w:t>ê</w:t>
      </w:r>
      <w:r w:rsidRPr="009E5707">
        <w:rPr>
          <w:lang w:val="en-CA"/>
        </w:rPr>
        <w:t>tre consid</w:t>
      </w:r>
      <w:r w:rsidRPr="009E5707">
        <w:rPr>
          <w:rFonts w:ascii="Calibri" w:hAnsi="Calibri" w:cs="Calibri"/>
          <w:lang w:val="en-CA"/>
        </w:rPr>
        <w:t>é</w:t>
      </w:r>
      <w:r w:rsidRPr="009E5707">
        <w:rPr>
          <w:lang w:val="en-CA"/>
        </w:rPr>
        <w:t>r</w:t>
      </w:r>
      <w:r w:rsidRPr="009E5707">
        <w:rPr>
          <w:rFonts w:ascii="Calibri" w:hAnsi="Calibri" w:cs="Calibri"/>
          <w:lang w:val="en-CA"/>
        </w:rPr>
        <w:t>é comme une philosophie du quiétisme, puisqu’il définit l’homme par l’action”</w:t>
      </w:r>
      <w:r w:rsidR="00D058CE">
        <w:rPr>
          <w:rFonts w:ascii="Calibri" w:hAnsi="Calibri" w:cs="Calibri"/>
          <w:lang w:val="en-CA"/>
        </w:rPr>
        <w:t>]</w:t>
      </w:r>
      <w:r w:rsidRPr="009E5707">
        <w:rPr>
          <w:rFonts w:ascii="Calibri" w:hAnsi="Calibri" w:cs="Calibri"/>
          <w:lang w:val="en-CA"/>
        </w:rPr>
        <w:t xml:space="preserve"> </w:t>
      </w:r>
      <w:r w:rsidR="00D058CE">
        <w:rPr>
          <w:rFonts w:ascii="Calibri" w:hAnsi="Calibri" w:cs="Calibri"/>
          <w:lang w:val="en-CA"/>
        </w:rPr>
        <w:t xml:space="preserve">Ebd., </w:t>
      </w:r>
      <w:r w:rsidRPr="009E5707">
        <w:rPr>
          <w:rFonts w:ascii="Calibri" w:hAnsi="Calibri" w:cs="Calibri"/>
          <w:lang w:val="en-CA"/>
        </w:rPr>
        <w:t>62</w:t>
      </w:r>
      <w:r w:rsidR="00D058CE">
        <w:rPr>
          <w:rFonts w:ascii="Calibri" w:hAnsi="Calibri" w:cs="Calibri"/>
          <w:lang w:val="en-CA"/>
        </w:rPr>
        <w:t xml:space="preserve">. </w:t>
      </w:r>
    </w:p>
  </w:footnote>
  <w:footnote w:id="43">
    <w:p w14:paraId="20490979" w14:textId="39A74D07" w:rsidR="007D4A60" w:rsidRPr="009E5707" w:rsidRDefault="007D4A60" w:rsidP="007D4A60">
      <w:pPr>
        <w:pStyle w:val="FootnoteText"/>
        <w:rPr>
          <w:lang w:val="de-DE"/>
        </w:rPr>
      </w:pPr>
      <w:r w:rsidRPr="009E5707">
        <w:rPr>
          <w:rStyle w:val="FootnoteReference"/>
        </w:rPr>
        <w:footnoteRef/>
      </w:r>
      <w:r w:rsidRPr="009E5707">
        <w:rPr>
          <w:lang w:val="de-DE"/>
        </w:rPr>
        <w:t xml:space="preserve"> Man denke hierbei auch an Oswald Spengler: </w:t>
      </w:r>
      <w:r w:rsidRPr="009E5707">
        <w:rPr>
          <w:i/>
          <w:lang w:val="de-DE"/>
        </w:rPr>
        <w:t>Der Untergang des Abendlandes. Umrisse einer Morphologie der Weltgeschichte</w:t>
      </w:r>
      <w:r w:rsidRPr="009E5707">
        <w:rPr>
          <w:lang w:val="de-DE"/>
        </w:rPr>
        <w:t xml:space="preserve">. München: dtv, 1983, vor allem das Schlusskapitel </w:t>
      </w:r>
      <w:r w:rsidR="00D058CE">
        <w:rPr>
          <w:lang w:val="de-DE"/>
        </w:rPr>
        <w:t>„</w:t>
      </w:r>
      <w:r w:rsidRPr="009E5707">
        <w:rPr>
          <w:lang w:val="de-DE"/>
        </w:rPr>
        <w:t>Die Maschine</w:t>
      </w:r>
      <w:r w:rsidR="00D058CE">
        <w:rPr>
          <w:lang w:val="de-DE"/>
        </w:rPr>
        <w:t>“</w:t>
      </w:r>
      <w:r w:rsidR="00A84360">
        <w:rPr>
          <w:lang w:val="de-DE"/>
        </w:rPr>
        <w:t xml:space="preserve"> (1183-1195)</w:t>
      </w:r>
      <w:r w:rsidRPr="009E5707">
        <w:rPr>
          <w:lang w:val="de-DE"/>
        </w:rPr>
        <w:t xml:space="preserve">, </w:t>
      </w:r>
      <w:r w:rsidR="00D058CE">
        <w:rPr>
          <w:lang w:val="de-DE"/>
        </w:rPr>
        <w:t xml:space="preserve">dort </w:t>
      </w:r>
      <w:proofErr w:type="gramStart"/>
      <w:r w:rsidR="00D058CE">
        <w:rPr>
          <w:lang w:val="de-DE"/>
        </w:rPr>
        <w:t>heißt es</w:t>
      </w:r>
      <w:proofErr w:type="gramEnd"/>
      <w:r w:rsidR="00D058CE">
        <w:rPr>
          <w:lang w:val="de-DE"/>
        </w:rPr>
        <w:t xml:space="preserve">: </w:t>
      </w:r>
      <w:r w:rsidR="00A84360">
        <w:rPr>
          <w:lang w:val="de-DE"/>
        </w:rPr>
        <w:t xml:space="preserve">„Der faustische Erfinder und Entdecker ist etwas Einziges. Die Urgewalt seines Wollens, die Leuchtkraft seiner Visionen, die stählerne Energie seines praktischen Nachdenkens müssen jedem, der aus fremden Kulturen herüberblickt, unheimlich und unverständlich sein, aber sie liegen uns </w:t>
      </w:r>
      <w:proofErr w:type="gramStart"/>
      <w:r w:rsidR="00A84360">
        <w:rPr>
          <w:lang w:val="de-DE"/>
        </w:rPr>
        <w:t>im Blute</w:t>
      </w:r>
      <w:proofErr w:type="gramEnd"/>
      <w:r w:rsidR="00A84360">
        <w:rPr>
          <w:lang w:val="de-DE"/>
        </w:rPr>
        <w:t>. Unsre ganze Kultur hat eine Entdeckerseele.“ (Ebd.,</w:t>
      </w:r>
      <w:r w:rsidRPr="009E5707">
        <w:rPr>
          <w:lang w:val="de-DE"/>
        </w:rPr>
        <w:t xml:space="preserve"> 1186</w:t>
      </w:r>
      <w:r w:rsidR="00A84360">
        <w:rPr>
          <w:lang w:val="de-DE"/>
        </w:rPr>
        <w:t>)</w:t>
      </w:r>
      <w:r w:rsidRPr="009E5707">
        <w:rPr>
          <w:lang w:val="de-DE"/>
        </w:rPr>
        <w:t xml:space="preserve">. </w:t>
      </w:r>
    </w:p>
  </w:footnote>
  <w:footnote w:id="44">
    <w:p w14:paraId="039593CB" w14:textId="584B650B" w:rsidR="00367775" w:rsidRPr="00A84360" w:rsidRDefault="00367775" w:rsidP="00A84360">
      <w:pPr>
        <w:rPr>
          <w:b/>
          <w:lang w:val="de-DE"/>
        </w:rPr>
      </w:pPr>
      <w:r w:rsidRPr="009E5707">
        <w:rPr>
          <w:rStyle w:val="FootnoteReference"/>
          <w:sz w:val="20"/>
          <w:szCs w:val="20"/>
        </w:rPr>
        <w:footnoteRef/>
      </w:r>
      <w:r w:rsidRPr="00D058CE">
        <w:rPr>
          <w:sz w:val="20"/>
          <w:szCs w:val="20"/>
          <w:lang w:val="de-DE"/>
        </w:rPr>
        <w:t xml:space="preserve"> </w:t>
      </w:r>
      <w:r w:rsidR="00A84360" w:rsidRPr="00A84360">
        <w:rPr>
          <w:sz w:val="20"/>
          <w:szCs w:val="20"/>
          <w:lang w:val="de-DE"/>
        </w:rPr>
        <w:t xml:space="preserve">Ulrich Wendt: </w:t>
      </w:r>
      <w:r w:rsidR="00A84360" w:rsidRPr="00A84360">
        <w:rPr>
          <w:i/>
          <w:sz w:val="20"/>
          <w:szCs w:val="20"/>
          <w:lang w:val="de-DE"/>
        </w:rPr>
        <w:t>Die Technik als Kulturmacht in sozialer und geistiger Beziehung</w:t>
      </w:r>
      <w:r w:rsidR="00A84360" w:rsidRPr="00A84360">
        <w:rPr>
          <w:sz w:val="20"/>
          <w:szCs w:val="20"/>
          <w:lang w:val="de-DE"/>
        </w:rPr>
        <w:t>. Berlin: Reimer, 1906</w:t>
      </w:r>
      <w:r w:rsidR="00A84360">
        <w:rPr>
          <w:sz w:val="20"/>
          <w:szCs w:val="20"/>
          <w:lang w:val="de-DE"/>
        </w:rPr>
        <w:t>, 321.</w:t>
      </w:r>
    </w:p>
  </w:footnote>
  <w:footnote w:id="45">
    <w:p w14:paraId="2CFD39E7" w14:textId="7251AB28" w:rsidR="007D4A60" w:rsidRPr="009E5707" w:rsidRDefault="007D4A60" w:rsidP="007D4A60">
      <w:pPr>
        <w:pStyle w:val="FootnoteText"/>
        <w:rPr>
          <w:lang w:val="de-DE"/>
        </w:rPr>
      </w:pPr>
      <w:r w:rsidRPr="009E5707">
        <w:rPr>
          <w:rStyle w:val="FootnoteReference"/>
        </w:rPr>
        <w:footnoteRef/>
      </w:r>
      <w:r w:rsidRPr="009E5707">
        <w:rPr>
          <w:lang w:val="de-DE"/>
        </w:rPr>
        <w:t xml:space="preserve"> </w:t>
      </w:r>
      <w:r w:rsidR="00A84360" w:rsidRPr="009E5707">
        <w:rPr>
          <w:lang w:val="de-DE"/>
        </w:rPr>
        <w:t xml:space="preserve">Friedrich Nietzsche: </w:t>
      </w:r>
      <w:r w:rsidR="00A84360" w:rsidRPr="00A84360">
        <w:rPr>
          <w:i/>
          <w:lang w:val="de-DE"/>
        </w:rPr>
        <w:t>Fröhliche</w:t>
      </w:r>
      <w:r w:rsidR="00A84360" w:rsidRPr="009E5707">
        <w:rPr>
          <w:lang w:val="de-DE"/>
        </w:rPr>
        <w:t xml:space="preserve"> </w:t>
      </w:r>
      <w:r w:rsidR="00A84360" w:rsidRPr="009E5707">
        <w:rPr>
          <w:i/>
          <w:lang w:val="de-DE"/>
        </w:rPr>
        <w:t>Wissenschaft</w:t>
      </w:r>
      <w:r w:rsidR="00A84360" w:rsidRPr="009E5707">
        <w:rPr>
          <w:lang w:val="de-DE"/>
        </w:rPr>
        <w:t xml:space="preserve">. In: </w:t>
      </w:r>
      <w:r w:rsidR="00A84360" w:rsidRPr="00A84360">
        <w:rPr>
          <w:i/>
          <w:lang w:val="de-DE"/>
        </w:rPr>
        <w:t>Morgenröte, Idyllen aus Messina, Die fröhliche Wissenschaft. Kritische Studienausgabe. Herausgegeben von Giorgio Colli und Mazzino Montinari</w:t>
      </w:r>
      <w:r w:rsidR="00A84360" w:rsidRPr="009E5707">
        <w:rPr>
          <w:lang w:val="de-DE"/>
        </w:rPr>
        <w:t>. München: dtv, 2015, 343-651,</w:t>
      </w:r>
      <w:r w:rsidR="00A84360">
        <w:rPr>
          <w:lang w:val="de-DE"/>
        </w:rPr>
        <w:t xml:space="preserve"> Drittes</w:t>
      </w:r>
      <w:r w:rsidR="00A84360" w:rsidRPr="009E5707">
        <w:rPr>
          <w:lang w:val="de-DE"/>
        </w:rPr>
        <w:t xml:space="preserve"> Buch, Aphorismus </w:t>
      </w:r>
      <w:r w:rsidR="00A84360">
        <w:rPr>
          <w:lang w:val="de-DE"/>
        </w:rPr>
        <w:t>178</w:t>
      </w:r>
      <w:r w:rsidR="00A84360" w:rsidRPr="009E5707">
        <w:rPr>
          <w:lang w:val="de-DE"/>
        </w:rPr>
        <w:t xml:space="preserve">, </w:t>
      </w:r>
      <w:r w:rsidR="00A84360">
        <w:rPr>
          <w:lang w:val="de-DE"/>
        </w:rPr>
        <w:t>501</w:t>
      </w:r>
      <w:r w:rsidR="00A84360" w:rsidRPr="009E5707">
        <w:rPr>
          <w:lang w:val="de-DE"/>
        </w:rPr>
        <w:t>.</w:t>
      </w:r>
    </w:p>
  </w:footnote>
  <w:footnote w:id="46">
    <w:p w14:paraId="09A32FAF" w14:textId="4BD53451" w:rsidR="007D4A60" w:rsidRPr="009E5707" w:rsidRDefault="007D4A60" w:rsidP="007D4A60">
      <w:pPr>
        <w:pStyle w:val="FootnoteText"/>
        <w:rPr>
          <w:lang w:val="de-DE"/>
        </w:rPr>
      </w:pPr>
      <w:r w:rsidRPr="009E5707">
        <w:rPr>
          <w:rStyle w:val="FootnoteReference"/>
        </w:rPr>
        <w:footnoteRef/>
      </w:r>
      <w:r w:rsidRPr="009E5707">
        <w:rPr>
          <w:lang w:val="de-DE"/>
        </w:rPr>
        <w:t xml:space="preserve"> Leo N. Tolstoj: </w:t>
      </w:r>
      <w:r w:rsidRPr="00A84360">
        <w:rPr>
          <w:i/>
          <w:lang w:val="de-DE"/>
        </w:rPr>
        <w:t>Tagebuch. Zweiter Band, 1900-1903</w:t>
      </w:r>
      <w:r w:rsidRPr="009E5707">
        <w:rPr>
          <w:lang w:val="de-DE"/>
        </w:rPr>
        <w:t xml:space="preserve">. Jena: Diederichs, 1923, 67. Nach der Lektüre des </w:t>
      </w:r>
      <w:r w:rsidRPr="00A84360">
        <w:rPr>
          <w:i/>
          <w:lang w:val="de-DE"/>
        </w:rPr>
        <w:t>Zarathustra</w:t>
      </w:r>
      <w:r w:rsidRPr="009E5707">
        <w:rPr>
          <w:lang w:val="de-DE"/>
        </w:rPr>
        <w:t xml:space="preserve"> hat er sich davon überzeugt, dass Nietzsche, „als er dieses Werk schrieb, vollkommen wahnsinnig war; und zwar wahnsinnig nicht im metaphorischen Sinn, sondern im genauesten Sinn des Wortes.“ </w:t>
      </w:r>
      <w:r w:rsidR="00A84360">
        <w:rPr>
          <w:lang w:val="de-DE"/>
        </w:rPr>
        <w:t xml:space="preserve">(Ebd.) </w:t>
      </w:r>
      <w:r w:rsidRPr="009E5707">
        <w:rPr>
          <w:lang w:val="de-DE"/>
        </w:rPr>
        <w:t>Und abschließend stellt er die Frage: „Wie muß eine Gesellschaft beschaffen sein, in der ein Wahnsinniger als ein Lehrer der Menschheit anerkannt wird?“</w:t>
      </w:r>
      <w:r w:rsidR="00A84360">
        <w:rPr>
          <w:lang w:val="de-DE"/>
        </w:rPr>
        <w:t xml:space="preserve"> (Ebd.)</w:t>
      </w:r>
    </w:p>
  </w:footnote>
  <w:footnote w:id="47">
    <w:p w14:paraId="0D2FF89B" w14:textId="4DC8A7E2" w:rsidR="002C5172" w:rsidRPr="009E5707" w:rsidRDefault="002C5172">
      <w:pPr>
        <w:pStyle w:val="FootnoteText"/>
        <w:rPr>
          <w:lang w:val="de-DE"/>
        </w:rPr>
      </w:pPr>
      <w:r w:rsidRPr="009E5707">
        <w:rPr>
          <w:rStyle w:val="FootnoteReference"/>
        </w:rPr>
        <w:footnoteRef/>
      </w:r>
      <w:r w:rsidRPr="00EA4865">
        <w:rPr>
          <w:lang w:val="de-DE"/>
        </w:rPr>
        <w:t xml:space="preserve"> </w:t>
      </w:r>
      <w:r w:rsidR="00127F35" w:rsidRPr="00EA4865">
        <w:rPr>
          <w:lang w:val="de-DE"/>
        </w:rPr>
        <w:t xml:space="preserve">Lao-Tse: </w:t>
      </w:r>
      <w:r w:rsidR="00127F35" w:rsidRPr="00EA4865">
        <w:rPr>
          <w:i/>
          <w:lang w:val="de-DE"/>
        </w:rPr>
        <w:t>Tao-T</w:t>
      </w:r>
      <w:r w:rsidR="00127F35" w:rsidRPr="00EA4865">
        <w:rPr>
          <w:rFonts w:ascii="Calibri" w:hAnsi="Calibri" w:cs="Calibri"/>
          <w:i/>
          <w:lang w:val="de-DE"/>
        </w:rPr>
        <w:t>ê</w:t>
      </w:r>
      <w:r w:rsidR="00127F35" w:rsidRPr="00EA4865">
        <w:rPr>
          <w:i/>
          <w:lang w:val="de-DE"/>
        </w:rPr>
        <w:t xml:space="preserve">-King. </w:t>
      </w:r>
      <w:r w:rsidR="00127F35" w:rsidRPr="00A84360">
        <w:rPr>
          <w:i/>
          <w:lang w:val="de-DE"/>
        </w:rPr>
        <w:t>Übertragung und Kommentar von Victor von Strauß</w:t>
      </w:r>
      <w:r w:rsidR="00127F35" w:rsidRPr="009E5707">
        <w:rPr>
          <w:lang w:val="de-DE"/>
        </w:rPr>
        <w:t xml:space="preserve">. Zürich: Manesse, 1959 (Nicht-Tun), Lao-Tse: </w:t>
      </w:r>
      <w:r w:rsidR="00127F35" w:rsidRPr="00A84360">
        <w:rPr>
          <w:i/>
          <w:lang w:val="de-DE"/>
        </w:rPr>
        <w:t>Tao-T</w:t>
      </w:r>
      <w:r w:rsidR="00127F35" w:rsidRPr="00A84360">
        <w:rPr>
          <w:rFonts w:ascii="Calibri" w:hAnsi="Calibri" w:cs="Calibri"/>
          <w:i/>
          <w:lang w:val="de-DE"/>
        </w:rPr>
        <w:t>ê</w:t>
      </w:r>
      <w:r w:rsidR="00127F35" w:rsidRPr="00A84360">
        <w:rPr>
          <w:i/>
          <w:lang w:val="de-DE"/>
        </w:rPr>
        <w:t>-King. Das Heilige Buch vom Weg und von der Tugend. Übersetzung, Einleitung und Anmerkungen von Günther Debon</w:t>
      </w:r>
      <w:r w:rsidR="00127F35" w:rsidRPr="009E5707">
        <w:rPr>
          <w:lang w:val="de-DE"/>
        </w:rPr>
        <w:t>. Stuttgart: Reclam, 2016 (Ohne-Tun), Hans van Ess</w:t>
      </w:r>
      <w:r w:rsidR="00A84360">
        <w:rPr>
          <w:lang w:val="de-DE"/>
        </w:rPr>
        <w:t>:</w:t>
      </w:r>
      <w:r w:rsidR="00127F35" w:rsidRPr="009E5707">
        <w:rPr>
          <w:lang w:val="de-DE"/>
        </w:rPr>
        <w:t xml:space="preserve"> </w:t>
      </w:r>
      <w:r w:rsidR="00127F35" w:rsidRPr="00A84360">
        <w:rPr>
          <w:i/>
          <w:lang w:val="de-DE"/>
        </w:rPr>
        <w:t>Der Daoismus. Von Laozi bis heute</w:t>
      </w:r>
      <w:r w:rsidR="00127F35" w:rsidRPr="009E5707">
        <w:rPr>
          <w:lang w:val="de-DE"/>
        </w:rPr>
        <w:t>. München; C.H. Beck</w:t>
      </w:r>
      <w:r w:rsidR="00B71057" w:rsidRPr="009E5707">
        <w:rPr>
          <w:lang w:val="de-DE"/>
        </w:rPr>
        <w:t xml:space="preserve">, 2011 (Nicht-Handeln), Shaoping Gan: </w:t>
      </w:r>
      <w:r w:rsidR="00B71057" w:rsidRPr="00A84360">
        <w:rPr>
          <w:i/>
          <w:lang w:val="de-DE"/>
        </w:rPr>
        <w:t>Die chinesische Philosophie. Die wichtigsten Philosophen, Werke, Schulen und Begriffe</w:t>
      </w:r>
      <w:r w:rsidR="00B71057" w:rsidRPr="009E5707">
        <w:rPr>
          <w:lang w:val="de-DE"/>
        </w:rPr>
        <w:t>. Darmstadt: Wissenschaftliche Buchgesellschaft, 1997 (Nicht-Eingreifen)</w:t>
      </w:r>
      <w:r w:rsidR="00127F35" w:rsidRPr="009E5707">
        <w:rPr>
          <w:lang w:val="de-DE"/>
        </w:rPr>
        <w:t xml:space="preserve">, </w:t>
      </w:r>
      <w:r w:rsidR="00A84360" w:rsidRPr="009E5707">
        <w:rPr>
          <w:lang w:val="de-DE"/>
        </w:rPr>
        <w:t xml:space="preserve">J.J.M. De Groot: </w:t>
      </w:r>
      <w:r w:rsidR="00A84360" w:rsidRPr="00C41BC0">
        <w:rPr>
          <w:i/>
          <w:lang w:val="de-DE"/>
        </w:rPr>
        <w:t>Universismus. Die Grundlagen der Religion und Ethik, des Staatswesens und der Wissenschaften Chinas</w:t>
      </w:r>
      <w:r w:rsidR="00A84360" w:rsidRPr="009E5707">
        <w:rPr>
          <w:lang w:val="de-DE"/>
        </w:rPr>
        <w:t xml:space="preserve">. Berlin: Georg Reimer, 1918 </w:t>
      </w:r>
      <w:r w:rsidR="00B71057" w:rsidRPr="009E5707">
        <w:rPr>
          <w:lang w:val="de-DE"/>
        </w:rPr>
        <w:t xml:space="preserve">(Regungslosigkeit), H. Roetz: „Wu Wei“. In: </w:t>
      </w:r>
      <w:r w:rsidR="00B71057" w:rsidRPr="009E5707">
        <w:rPr>
          <w:i/>
          <w:lang w:val="de-DE"/>
        </w:rPr>
        <w:t>Historisches Wörterbuch der Philosophie. Band 12: W-Z</w:t>
      </w:r>
      <w:r w:rsidR="00B71057" w:rsidRPr="009E5707">
        <w:rPr>
          <w:lang w:val="de-DE"/>
        </w:rPr>
        <w:t xml:space="preserve">. Basel: Schwabe, 2004, 1097-1100 (Inaktivität, Zweckfreiheit, Handlungsenthaltung, Stillstellung des Handelns). </w:t>
      </w:r>
    </w:p>
  </w:footnote>
  <w:footnote w:id="48">
    <w:p w14:paraId="00C70203" w14:textId="1CDB81A8" w:rsidR="002C5172" w:rsidRPr="009E5707" w:rsidRDefault="002C5172" w:rsidP="00FC16E1">
      <w:pPr>
        <w:rPr>
          <w:sz w:val="20"/>
          <w:szCs w:val="20"/>
          <w:lang w:val="de-DE"/>
        </w:rPr>
      </w:pPr>
      <w:r w:rsidRPr="009E5707">
        <w:rPr>
          <w:rStyle w:val="FootnoteReference"/>
          <w:sz w:val="20"/>
          <w:szCs w:val="20"/>
        </w:rPr>
        <w:footnoteRef/>
      </w:r>
      <w:r w:rsidRPr="009E5707">
        <w:rPr>
          <w:sz w:val="20"/>
          <w:szCs w:val="20"/>
          <w:lang w:val="de-DE"/>
        </w:rPr>
        <w:t xml:space="preserve"> J.J.M. De Groot: </w:t>
      </w:r>
      <w:r w:rsidRPr="00C41BC0">
        <w:rPr>
          <w:i/>
          <w:sz w:val="20"/>
          <w:szCs w:val="20"/>
          <w:lang w:val="de-DE"/>
        </w:rPr>
        <w:t>Universismus. Die Grundlagen der Religion und Ethik, des Staatswesens und der Wissenschaften Chinas</w:t>
      </w:r>
      <w:r w:rsidRPr="009E5707">
        <w:rPr>
          <w:sz w:val="20"/>
          <w:szCs w:val="20"/>
          <w:lang w:val="de-DE"/>
        </w:rPr>
        <w:t>. Berlin: Georg Reimer, 1918</w:t>
      </w:r>
      <w:r w:rsidR="002116AB" w:rsidRPr="009E5707">
        <w:rPr>
          <w:sz w:val="20"/>
          <w:szCs w:val="20"/>
          <w:lang w:val="de-DE"/>
        </w:rPr>
        <w:t>, 5.</w:t>
      </w:r>
    </w:p>
  </w:footnote>
  <w:footnote w:id="49">
    <w:p w14:paraId="71883AEF" w14:textId="7FCA6596" w:rsidR="002116AB" w:rsidRPr="009E5707" w:rsidRDefault="002116AB" w:rsidP="00732DE0">
      <w:pPr>
        <w:pStyle w:val="FootnoteText"/>
        <w:rPr>
          <w:lang w:val="de-DE"/>
        </w:rPr>
      </w:pPr>
      <w:r w:rsidRPr="009E5707">
        <w:rPr>
          <w:rStyle w:val="FootnoteReference"/>
        </w:rPr>
        <w:footnoteRef/>
      </w:r>
      <w:r w:rsidRPr="009E5707">
        <w:rPr>
          <w:lang w:val="de-DE"/>
        </w:rPr>
        <w:t xml:space="preserve"> </w:t>
      </w:r>
      <w:r w:rsidR="00C41BC0">
        <w:rPr>
          <w:lang w:val="de-DE"/>
        </w:rPr>
        <w:t xml:space="preserve">Ebd., </w:t>
      </w:r>
      <w:r w:rsidRPr="009E5707">
        <w:rPr>
          <w:lang w:val="de-DE"/>
        </w:rPr>
        <w:t>15</w:t>
      </w:r>
      <w:r w:rsidR="00C41BC0">
        <w:rPr>
          <w:lang w:val="de-DE"/>
        </w:rPr>
        <w:t>.</w:t>
      </w:r>
    </w:p>
  </w:footnote>
  <w:footnote w:id="50">
    <w:p w14:paraId="6DA4DBB1" w14:textId="0758D4EF" w:rsidR="002C5172" w:rsidRPr="009E5707" w:rsidRDefault="002C5172" w:rsidP="00732DE0">
      <w:pPr>
        <w:pStyle w:val="FootnoteText"/>
        <w:rPr>
          <w:lang w:val="de-DE"/>
        </w:rPr>
      </w:pPr>
      <w:r w:rsidRPr="00732DE0">
        <w:rPr>
          <w:rStyle w:val="FootnoteReference"/>
        </w:rPr>
        <w:footnoteRef/>
      </w:r>
      <w:r w:rsidRPr="00026833">
        <w:rPr>
          <w:rStyle w:val="FootnoteReference"/>
          <w:lang w:val="de-DE"/>
        </w:rPr>
        <w:t xml:space="preserve"> </w:t>
      </w:r>
      <w:r w:rsidR="00C41BC0">
        <w:rPr>
          <w:lang w:val="de-DE"/>
        </w:rPr>
        <w:t xml:space="preserve">Ebd., </w:t>
      </w:r>
      <w:r w:rsidR="00367775" w:rsidRPr="009E5707">
        <w:rPr>
          <w:lang w:val="de-DE"/>
        </w:rPr>
        <w:t xml:space="preserve">20. </w:t>
      </w:r>
    </w:p>
  </w:footnote>
  <w:footnote w:id="51">
    <w:p w14:paraId="7FEDD6C0" w14:textId="0F973B7C" w:rsidR="00056EF3" w:rsidRPr="009E5707" w:rsidRDefault="00056EF3">
      <w:pPr>
        <w:pStyle w:val="FootnoteText"/>
        <w:rPr>
          <w:lang w:val="de-DE"/>
        </w:rPr>
      </w:pPr>
      <w:r w:rsidRPr="009E5707">
        <w:rPr>
          <w:rStyle w:val="FootnoteReference"/>
        </w:rPr>
        <w:footnoteRef/>
      </w:r>
      <w:r w:rsidRPr="009E5707">
        <w:rPr>
          <w:lang w:val="de-DE"/>
        </w:rPr>
        <w:t xml:space="preserve"> </w:t>
      </w:r>
      <w:r w:rsidR="00C41BC0" w:rsidRPr="00C41BC0">
        <w:rPr>
          <w:lang w:val="de-DE"/>
        </w:rPr>
        <w:t xml:space="preserve">Wolfgang Bauer: </w:t>
      </w:r>
      <w:r w:rsidR="00C41BC0" w:rsidRPr="00C41BC0">
        <w:rPr>
          <w:i/>
          <w:lang w:val="de-DE"/>
        </w:rPr>
        <w:t>Geschichte der chinesischen Philosophie. Konfuzianismus, Daoismus, Buddhismus. Herausgegeben von Hans van Ess</w:t>
      </w:r>
      <w:r w:rsidR="00C41BC0" w:rsidRPr="00C41BC0">
        <w:rPr>
          <w:lang w:val="de-DE"/>
        </w:rPr>
        <w:t>. München: Beck, 200</w:t>
      </w:r>
      <w:r w:rsidR="00C41BC0">
        <w:rPr>
          <w:lang w:val="de-DE"/>
        </w:rPr>
        <w:t>1</w:t>
      </w:r>
      <w:r w:rsidRPr="009E5707">
        <w:rPr>
          <w:lang w:val="de-DE"/>
        </w:rPr>
        <w:t>, 93</w:t>
      </w:r>
      <w:r w:rsidR="00C41BC0">
        <w:rPr>
          <w:lang w:val="de-DE"/>
        </w:rPr>
        <w:t>.</w:t>
      </w:r>
    </w:p>
  </w:footnote>
  <w:footnote w:id="52">
    <w:p w14:paraId="04B5E9C2" w14:textId="77777777" w:rsidR="002C5172" w:rsidRPr="009E5707" w:rsidRDefault="002C5172" w:rsidP="00FC16E1">
      <w:pPr>
        <w:pStyle w:val="FootnoteText"/>
        <w:rPr>
          <w:lang w:val="de-DE"/>
        </w:rPr>
      </w:pPr>
      <w:r w:rsidRPr="009E5707">
        <w:rPr>
          <w:rStyle w:val="FootnoteReference"/>
        </w:rPr>
        <w:footnoteRef/>
      </w:r>
      <w:r w:rsidRPr="009E5707">
        <w:rPr>
          <w:lang w:val="de-DE"/>
        </w:rPr>
        <w:t xml:space="preserve"> Masanobu Fukuoka: </w:t>
      </w:r>
      <w:r w:rsidRPr="009E5707">
        <w:rPr>
          <w:i/>
          <w:lang w:val="de-DE"/>
        </w:rPr>
        <w:t>Der große Weg hat kein Tor. Nahrung – Anbau – Leben</w:t>
      </w:r>
      <w:r w:rsidRPr="009E5707">
        <w:rPr>
          <w:lang w:val="de-DE"/>
        </w:rPr>
        <w:t>. Pala Verlag, 2019, 38.</w:t>
      </w:r>
    </w:p>
  </w:footnote>
  <w:footnote w:id="53">
    <w:p w14:paraId="64B1EF84" w14:textId="6434D743" w:rsidR="00367775" w:rsidRPr="009E5707" w:rsidRDefault="00367775">
      <w:pPr>
        <w:pStyle w:val="FootnoteText"/>
        <w:rPr>
          <w:lang w:val="de-DE"/>
        </w:rPr>
      </w:pPr>
      <w:r w:rsidRPr="009E5707">
        <w:rPr>
          <w:rStyle w:val="FootnoteReference"/>
        </w:rPr>
        <w:footnoteRef/>
      </w:r>
      <w:r w:rsidRPr="009E5707">
        <w:rPr>
          <w:lang w:val="de-DE"/>
        </w:rPr>
        <w:t xml:space="preserve"> </w:t>
      </w:r>
      <w:r w:rsidR="00C41BC0">
        <w:rPr>
          <w:lang w:val="de-DE"/>
        </w:rPr>
        <w:t xml:space="preserve">Ebd., </w:t>
      </w:r>
      <w:r w:rsidRPr="009E5707">
        <w:rPr>
          <w:lang w:val="de-DE"/>
        </w:rPr>
        <w:t>38-39</w:t>
      </w:r>
      <w:r w:rsidR="00C41BC0">
        <w:rPr>
          <w:lang w:val="de-DE"/>
        </w:rPr>
        <w:t>.</w:t>
      </w:r>
    </w:p>
  </w:footnote>
  <w:footnote w:id="54">
    <w:p w14:paraId="3FAFF128" w14:textId="5A33010D" w:rsidR="00870EE8" w:rsidRPr="009E5707" w:rsidRDefault="00870EE8">
      <w:pPr>
        <w:pStyle w:val="FootnoteText"/>
        <w:rPr>
          <w:lang w:val="de-DE"/>
        </w:rPr>
      </w:pPr>
      <w:r w:rsidRPr="009E5707">
        <w:rPr>
          <w:rStyle w:val="FootnoteReference"/>
        </w:rPr>
        <w:footnoteRef/>
      </w:r>
      <w:r w:rsidRPr="009E5707">
        <w:rPr>
          <w:lang w:val="de-DE"/>
        </w:rPr>
        <w:t xml:space="preserve"> Siehe hierzu auch die Sprichwörter zur Arbeit in </w:t>
      </w:r>
      <w:r w:rsidRPr="00C41BC0">
        <w:rPr>
          <w:i/>
          <w:lang w:val="de-DE"/>
        </w:rPr>
        <w:t>Arbeit und Müßiggang 1789-1914. Dokumente und Analysten. Herausgegeben von Wolfgang Asholt und Walter Fähnders</w:t>
      </w:r>
      <w:r w:rsidRPr="009E5707">
        <w:rPr>
          <w:lang w:val="de-DE"/>
        </w:rPr>
        <w:t>. Frankfurt am Main: Fischer, 1991, 62</w:t>
      </w:r>
      <w:r w:rsidR="00C41BC0">
        <w:rPr>
          <w:lang w:val="de-DE"/>
        </w:rPr>
        <w:t>.</w:t>
      </w:r>
    </w:p>
  </w:footnote>
  <w:footnote w:id="55">
    <w:p w14:paraId="71524D30" w14:textId="6E2D8E08" w:rsidR="00EA4865" w:rsidRPr="00EA4865" w:rsidRDefault="00EA4865">
      <w:pPr>
        <w:pStyle w:val="FootnoteText"/>
        <w:rPr>
          <w:lang w:val="de-DE"/>
        </w:rPr>
      </w:pPr>
      <w:r>
        <w:rPr>
          <w:rStyle w:val="FootnoteReference"/>
        </w:rPr>
        <w:footnoteRef/>
      </w:r>
      <w:r w:rsidRPr="00EA4865">
        <w:rPr>
          <w:lang w:val="de-DE"/>
        </w:rPr>
        <w:t xml:space="preserve"> </w:t>
      </w:r>
      <w:r w:rsidR="00573A8E">
        <w:rPr>
          <w:rFonts w:ascii="Calibri" w:hAnsi="Calibri"/>
          <w:lang w:val="de-DE"/>
        </w:rPr>
        <w:t>É</w:t>
      </w:r>
      <w:r>
        <w:rPr>
          <w:lang w:val="de-DE"/>
        </w:rPr>
        <w:t xml:space="preserve">mile Zola: </w:t>
      </w:r>
      <w:r w:rsidRPr="001875E3">
        <w:rPr>
          <w:i/>
          <w:lang w:val="de-DE"/>
        </w:rPr>
        <w:t>Arbeit</w:t>
      </w:r>
      <w:r>
        <w:rPr>
          <w:lang w:val="de-DE"/>
        </w:rPr>
        <w:t xml:space="preserve">. Berlin: Verlag von Th. Knaur Nachf., </w:t>
      </w:r>
      <w:r w:rsidR="001875E3">
        <w:rPr>
          <w:lang w:val="de-DE"/>
        </w:rPr>
        <w:t xml:space="preserve">1901, </w:t>
      </w:r>
      <w:r>
        <w:rPr>
          <w:lang w:val="de-DE"/>
        </w:rPr>
        <w:t>186.</w:t>
      </w:r>
    </w:p>
  </w:footnote>
  <w:footnote w:id="56">
    <w:p w14:paraId="11BB504B" w14:textId="77777777" w:rsidR="001875E3" w:rsidRPr="001875E3" w:rsidRDefault="001875E3" w:rsidP="001875E3">
      <w:pPr>
        <w:pStyle w:val="FootnoteText"/>
        <w:rPr>
          <w:lang w:val="de-DE"/>
        </w:rPr>
      </w:pPr>
      <w:r>
        <w:rPr>
          <w:rStyle w:val="FootnoteReference"/>
        </w:rPr>
        <w:footnoteRef/>
      </w:r>
      <w:r w:rsidRPr="00026833">
        <w:rPr>
          <w:lang w:val="de-DE"/>
        </w:rPr>
        <w:t xml:space="preserve"> </w:t>
      </w:r>
      <w:r>
        <w:rPr>
          <w:lang w:val="de-DE"/>
        </w:rPr>
        <w:t>Ebd., 577.</w:t>
      </w:r>
    </w:p>
  </w:footnote>
  <w:footnote w:id="57">
    <w:p w14:paraId="4B68892D" w14:textId="53EC2672" w:rsidR="00091143" w:rsidRPr="00091143" w:rsidRDefault="00091143">
      <w:pPr>
        <w:pStyle w:val="FootnoteText"/>
        <w:rPr>
          <w:lang w:val="de-DE"/>
        </w:rPr>
      </w:pPr>
      <w:r>
        <w:rPr>
          <w:rStyle w:val="FootnoteReference"/>
        </w:rPr>
        <w:footnoteRef/>
      </w:r>
      <w:r w:rsidRPr="00091143">
        <w:rPr>
          <w:lang w:val="de-DE"/>
        </w:rPr>
        <w:t xml:space="preserve"> </w:t>
      </w:r>
      <w:r>
        <w:rPr>
          <w:lang w:val="de-DE"/>
        </w:rPr>
        <w:t>Der Held des Romans, der den Namen des Evangelisten Lukas trägt, ist folgerichtig Ingenieur.</w:t>
      </w:r>
    </w:p>
  </w:footnote>
  <w:footnote w:id="58">
    <w:p w14:paraId="0DACD31E" w14:textId="5F9481BA" w:rsidR="0004221F" w:rsidRPr="0004221F" w:rsidRDefault="0004221F">
      <w:pPr>
        <w:pStyle w:val="FootnoteText"/>
        <w:rPr>
          <w:lang w:val="de-DE"/>
        </w:rPr>
      </w:pPr>
      <w:r>
        <w:rPr>
          <w:rStyle w:val="FootnoteReference"/>
        </w:rPr>
        <w:footnoteRef/>
      </w:r>
      <w:r w:rsidRPr="0004221F">
        <w:rPr>
          <w:lang w:val="de-DE"/>
        </w:rPr>
        <w:t xml:space="preserve"> </w:t>
      </w:r>
      <w:r>
        <w:rPr>
          <w:lang w:val="de-DE"/>
        </w:rPr>
        <w:t xml:space="preserve">Den Namen </w:t>
      </w:r>
      <w:r w:rsidRPr="0004221F">
        <w:rPr>
          <w:i/>
          <w:lang w:val="de-DE"/>
        </w:rPr>
        <w:t>Baconsches Zeitalter</w:t>
      </w:r>
      <w:r>
        <w:rPr>
          <w:lang w:val="de-DE"/>
        </w:rPr>
        <w:t xml:space="preserve"> verdankt es Francis Bacon (1561-1626), denn die Grundüberzeugung dieses Zeitalters „war seinerzeit durch Francis Bacon in die Welt gekommen.“ (</w:t>
      </w:r>
      <w:r w:rsidRPr="0004221F">
        <w:rPr>
          <w:lang w:val="de-DE"/>
        </w:rPr>
        <w:t xml:space="preserve">Gernot Böhme: </w:t>
      </w:r>
      <w:r>
        <w:rPr>
          <w:lang w:val="de-DE"/>
        </w:rPr>
        <w:t>„</w:t>
      </w:r>
      <w:r w:rsidRPr="0004221F">
        <w:rPr>
          <w:lang w:val="de-DE"/>
        </w:rPr>
        <w:t>Am Ende des Baconschen Zeitalters</w:t>
      </w:r>
      <w:r>
        <w:rPr>
          <w:lang w:val="de-DE"/>
        </w:rPr>
        <w:t>“</w:t>
      </w:r>
      <w:r w:rsidRPr="0004221F">
        <w:rPr>
          <w:lang w:val="de-DE"/>
        </w:rPr>
        <w:t xml:space="preserve">. In: </w:t>
      </w:r>
      <w:r w:rsidRPr="0004221F">
        <w:rPr>
          <w:i/>
          <w:lang w:val="de-DE"/>
        </w:rPr>
        <w:t>Am Ende des Baconschen Zeitalters. Studien zur Wissenschaftsentwicklung</w:t>
      </w:r>
      <w:r w:rsidRPr="0004221F">
        <w:rPr>
          <w:lang w:val="de-DE"/>
        </w:rPr>
        <w:t>. Frankfurt am Main: Suhrkamp, 1993, 7-31</w:t>
      </w:r>
      <w:r>
        <w:rPr>
          <w:lang w:val="de-DE"/>
        </w:rPr>
        <w:t>, hier: 9)</w:t>
      </w:r>
      <w:r w:rsidRPr="0004221F">
        <w:rPr>
          <w:lang w:val="de-DE"/>
        </w:rPr>
        <w:t>.</w:t>
      </w:r>
    </w:p>
  </w:footnote>
  <w:footnote w:id="59">
    <w:p w14:paraId="41CF440A" w14:textId="1D1D74AD" w:rsidR="0004221F" w:rsidRPr="0004221F" w:rsidRDefault="0004221F">
      <w:pPr>
        <w:pStyle w:val="FootnoteText"/>
        <w:rPr>
          <w:lang w:val="de-DE"/>
        </w:rPr>
      </w:pPr>
      <w:r>
        <w:rPr>
          <w:rStyle w:val="FootnoteReference"/>
        </w:rPr>
        <w:footnoteRef/>
      </w:r>
      <w:r w:rsidRPr="0004221F">
        <w:rPr>
          <w:lang w:val="de-DE"/>
        </w:rPr>
        <w:t xml:space="preserve"> </w:t>
      </w:r>
      <w:r>
        <w:rPr>
          <w:lang w:val="de-DE"/>
        </w:rPr>
        <w:t xml:space="preserve">Ebd., 9. </w:t>
      </w:r>
    </w:p>
  </w:footnote>
  <w:footnote w:id="60">
    <w:p w14:paraId="70BDA710" w14:textId="11A3E047" w:rsidR="00656C6F" w:rsidRPr="00656C6F" w:rsidRDefault="00656C6F">
      <w:pPr>
        <w:pStyle w:val="FootnoteText"/>
        <w:rPr>
          <w:lang w:val="de-DE"/>
        </w:rPr>
      </w:pPr>
      <w:r>
        <w:rPr>
          <w:rStyle w:val="FootnoteReference"/>
        </w:rPr>
        <w:footnoteRef/>
      </w:r>
      <w:r w:rsidRPr="00656C6F">
        <w:rPr>
          <w:lang w:val="de-DE"/>
        </w:rPr>
        <w:t xml:space="preserve"> </w:t>
      </w:r>
      <w:r>
        <w:rPr>
          <w:lang w:val="de-DE"/>
        </w:rPr>
        <w:t xml:space="preserve">Brief an George Bernard Shaw vom 17. August 1908, in: in </w:t>
      </w:r>
      <w:r w:rsidRPr="00095489">
        <w:rPr>
          <w:rFonts w:cstheme="minorHAnsi"/>
          <w:lang w:val="de-DE"/>
        </w:rPr>
        <w:t xml:space="preserve">Lew Tolstoi: </w:t>
      </w:r>
      <w:r w:rsidRPr="00AA5812">
        <w:rPr>
          <w:rFonts w:cstheme="minorHAnsi"/>
          <w:i/>
          <w:lang w:val="de-DE"/>
        </w:rPr>
        <w:t>Briefe. Zweiter Band. 1886-1910</w:t>
      </w:r>
      <w:r w:rsidRPr="00095489">
        <w:rPr>
          <w:rFonts w:cstheme="minorHAnsi"/>
          <w:lang w:val="de-DE"/>
        </w:rPr>
        <w:t xml:space="preserve">. </w:t>
      </w:r>
      <w:r w:rsidRPr="00AA5812">
        <w:rPr>
          <w:rFonts w:cstheme="minorHAnsi"/>
          <w:i/>
          <w:lang w:val="de-DE"/>
        </w:rPr>
        <w:t>Gesammelte Werke in zwanzig Bänden. Herausgegeben von Eberhard Dieckmann und Gerhard Dudek. Band 17</w:t>
      </w:r>
      <w:r w:rsidRPr="00095489">
        <w:rPr>
          <w:rFonts w:cstheme="minorHAnsi"/>
          <w:lang w:val="de-DE"/>
        </w:rPr>
        <w:t>. Berlin: Rütten &amp; Loening, 1971,</w:t>
      </w:r>
      <w:r>
        <w:rPr>
          <w:lang w:val="de-DE"/>
        </w:rPr>
        <w:t xml:space="preserve"> 488. </w:t>
      </w:r>
    </w:p>
  </w:footnote>
  <w:footnote w:id="61">
    <w:p w14:paraId="105CD785" w14:textId="69F07032" w:rsidR="00656C6F" w:rsidRPr="00656C6F" w:rsidRDefault="00656C6F" w:rsidP="00656C6F">
      <w:pPr>
        <w:rPr>
          <w:lang w:val="de-DE"/>
        </w:rPr>
      </w:pPr>
      <w:r w:rsidRPr="00656C6F">
        <w:rPr>
          <w:rStyle w:val="FootnoteReference"/>
          <w:sz w:val="20"/>
          <w:szCs w:val="20"/>
        </w:rPr>
        <w:footnoteRef/>
      </w:r>
      <w:r w:rsidRPr="00656C6F">
        <w:rPr>
          <w:rStyle w:val="FootnoteReference"/>
          <w:sz w:val="20"/>
          <w:szCs w:val="20"/>
          <w:lang w:val="de-DE"/>
        </w:rPr>
        <w:t xml:space="preserve"> </w:t>
      </w:r>
      <w:r w:rsidRPr="00656C6F">
        <w:rPr>
          <w:sz w:val="20"/>
          <w:szCs w:val="20"/>
          <w:lang w:val="de-DE"/>
        </w:rPr>
        <w:t xml:space="preserve">„Nein, ändern läßt sich dies durch keine Vergnügungen, durch keinen Komfort, durch keine Pulver – nur eine veränderte Lebensweise vermag hier zu helfen.“ (Leo N. Tolstoi: </w:t>
      </w:r>
      <w:r w:rsidRPr="00656C6F">
        <w:rPr>
          <w:i/>
          <w:sz w:val="20"/>
          <w:szCs w:val="20"/>
          <w:lang w:val="de-DE"/>
        </w:rPr>
        <w:t>Was sollen wir denn thun? Zweiter Band</w:t>
      </w:r>
      <w:r w:rsidRPr="00656C6F">
        <w:rPr>
          <w:sz w:val="20"/>
          <w:szCs w:val="20"/>
          <w:lang w:val="de-DE"/>
        </w:rPr>
        <w:t>. Leipzig, Diederichs, 1902, 217)</w:t>
      </w:r>
    </w:p>
  </w:footnote>
  <w:footnote w:id="62">
    <w:p w14:paraId="63FECE26" w14:textId="70BCE82E" w:rsidR="00656C6F" w:rsidRPr="00656C6F" w:rsidRDefault="00656C6F">
      <w:pPr>
        <w:pStyle w:val="FootnoteText"/>
        <w:rPr>
          <w:lang w:val="de-DE"/>
        </w:rPr>
      </w:pPr>
      <w:r>
        <w:rPr>
          <w:rStyle w:val="FootnoteReference"/>
        </w:rPr>
        <w:footnoteRef/>
      </w:r>
      <w:r>
        <w:t xml:space="preserve"> </w:t>
      </w:r>
      <w:r>
        <w:rPr>
          <w:lang w:val="de-DE"/>
        </w:rPr>
        <w:t xml:space="preserve">Ebd., 219.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563CDE"/>
    <w:multiLevelType w:val="hybridMultilevel"/>
    <w:tmpl w:val="5290F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D5F"/>
    <w:rsid w:val="00026833"/>
    <w:rsid w:val="00035ABB"/>
    <w:rsid w:val="0004043D"/>
    <w:rsid w:val="00041B9C"/>
    <w:rsid w:val="00042148"/>
    <w:rsid w:val="0004221F"/>
    <w:rsid w:val="000535C1"/>
    <w:rsid w:val="00056A57"/>
    <w:rsid w:val="00056EF3"/>
    <w:rsid w:val="00072527"/>
    <w:rsid w:val="00076865"/>
    <w:rsid w:val="00091143"/>
    <w:rsid w:val="000973D7"/>
    <w:rsid w:val="000C4A29"/>
    <w:rsid w:val="000D2726"/>
    <w:rsid w:val="000E49F5"/>
    <w:rsid w:val="000F6C73"/>
    <w:rsid w:val="00111034"/>
    <w:rsid w:val="00122ABD"/>
    <w:rsid w:val="001231ED"/>
    <w:rsid w:val="00127F35"/>
    <w:rsid w:val="00136707"/>
    <w:rsid w:val="00167363"/>
    <w:rsid w:val="001875E3"/>
    <w:rsid w:val="001945BC"/>
    <w:rsid w:val="00202FF2"/>
    <w:rsid w:val="002034AD"/>
    <w:rsid w:val="0021062E"/>
    <w:rsid w:val="002116AB"/>
    <w:rsid w:val="0022118F"/>
    <w:rsid w:val="002301F1"/>
    <w:rsid w:val="00234A1C"/>
    <w:rsid w:val="0026306E"/>
    <w:rsid w:val="00265B39"/>
    <w:rsid w:val="00267E3E"/>
    <w:rsid w:val="00292733"/>
    <w:rsid w:val="00297723"/>
    <w:rsid w:val="002A5768"/>
    <w:rsid w:val="002A75E5"/>
    <w:rsid w:val="002C5172"/>
    <w:rsid w:val="002C6968"/>
    <w:rsid w:val="002E5504"/>
    <w:rsid w:val="002E7C22"/>
    <w:rsid w:val="003201AE"/>
    <w:rsid w:val="00334402"/>
    <w:rsid w:val="00335993"/>
    <w:rsid w:val="00342B02"/>
    <w:rsid w:val="003634EA"/>
    <w:rsid w:val="00366823"/>
    <w:rsid w:val="00367775"/>
    <w:rsid w:val="003742F1"/>
    <w:rsid w:val="00384FD2"/>
    <w:rsid w:val="00395CDE"/>
    <w:rsid w:val="003A330E"/>
    <w:rsid w:val="003A583D"/>
    <w:rsid w:val="003B2767"/>
    <w:rsid w:val="003F100C"/>
    <w:rsid w:val="003F71A2"/>
    <w:rsid w:val="00410E7C"/>
    <w:rsid w:val="00411C3B"/>
    <w:rsid w:val="00432403"/>
    <w:rsid w:val="00447D49"/>
    <w:rsid w:val="00460EF4"/>
    <w:rsid w:val="00463253"/>
    <w:rsid w:val="004B1570"/>
    <w:rsid w:val="004B3198"/>
    <w:rsid w:val="004C31EC"/>
    <w:rsid w:val="0055526E"/>
    <w:rsid w:val="00573A8E"/>
    <w:rsid w:val="0059082D"/>
    <w:rsid w:val="005A3B90"/>
    <w:rsid w:val="005D3791"/>
    <w:rsid w:val="0060255F"/>
    <w:rsid w:val="00615747"/>
    <w:rsid w:val="00635244"/>
    <w:rsid w:val="00656C6F"/>
    <w:rsid w:val="0065783B"/>
    <w:rsid w:val="006713F8"/>
    <w:rsid w:val="0068068A"/>
    <w:rsid w:val="006848A9"/>
    <w:rsid w:val="006B361E"/>
    <w:rsid w:val="006C249B"/>
    <w:rsid w:val="006E0AF6"/>
    <w:rsid w:val="006F3E64"/>
    <w:rsid w:val="006F50F5"/>
    <w:rsid w:val="00701B9C"/>
    <w:rsid w:val="00710227"/>
    <w:rsid w:val="00724410"/>
    <w:rsid w:val="00732DE0"/>
    <w:rsid w:val="00743D16"/>
    <w:rsid w:val="00751145"/>
    <w:rsid w:val="007572BA"/>
    <w:rsid w:val="007729DF"/>
    <w:rsid w:val="007A1711"/>
    <w:rsid w:val="007A74BC"/>
    <w:rsid w:val="007D1552"/>
    <w:rsid w:val="007D4A60"/>
    <w:rsid w:val="007E18A5"/>
    <w:rsid w:val="007F724D"/>
    <w:rsid w:val="007F7500"/>
    <w:rsid w:val="00821F8F"/>
    <w:rsid w:val="008241D1"/>
    <w:rsid w:val="0082554D"/>
    <w:rsid w:val="008705A9"/>
    <w:rsid w:val="00870EE8"/>
    <w:rsid w:val="00874F11"/>
    <w:rsid w:val="008E5925"/>
    <w:rsid w:val="008E7560"/>
    <w:rsid w:val="00900D77"/>
    <w:rsid w:val="009209C1"/>
    <w:rsid w:val="009D2505"/>
    <w:rsid w:val="009D3357"/>
    <w:rsid w:val="009E30C4"/>
    <w:rsid w:val="009E5707"/>
    <w:rsid w:val="00A1189D"/>
    <w:rsid w:val="00A300CE"/>
    <w:rsid w:val="00A364E1"/>
    <w:rsid w:val="00A80BB8"/>
    <w:rsid w:val="00A84360"/>
    <w:rsid w:val="00AA5812"/>
    <w:rsid w:val="00AD5B54"/>
    <w:rsid w:val="00AF51C6"/>
    <w:rsid w:val="00B315E1"/>
    <w:rsid w:val="00B71057"/>
    <w:rsid w:val="00BA6EB8"/>
    <w:rsid w:val="00BC553E"/>
    <w:rsid w:val="00C17C1B"/>
    <w:rsid w:val="00C23DDF"/>
    <w:rsid w:val="00C41BC0"/>
    <w:rsid w:val="00C430A8"/>
    <w:rsid w:val="00C5195F"/>
    <w:rsid w:val="00C5435D"/>
    <w:rsid w:val="00C72831"/>
    <w:rsid w:val="00C840F4"/>
    <w:rsid w:val="00C91C89"/>
    <w:rsid w:val="00CA67DB"/>
    <w:rsid w:val="00CB7C9E"/>
    <w:rsid w:val="00CC2D5F"/>
    <w:rsid w:val="00CC4071"/>
    <w:rsid w:val="00CE0A01"/>
    <w:rsid w:val="00CE2FF0"/>
    <w:rsid w:val="00CF6C64"/>
    <w:rsid w:val="00D058CE"/>
    <w:rsid w:val="00D25DBD"/>
    <w:rsid w:val="00D30EBA"/>
    <w:rsid w:val="00D6278C"/>
    <w:rsid w:val="00D82EF0"/>
    <w:rsid w:val="00DD18F7"/>
    <w:rsid w:val="00DF0288"/>
    <w:rsid w:val="00DF113D"/>
    <w:rsid w:val="00DF3E32"/>
    <w:rsid w:val="00E13C98"/>
    <w:rsid w:val="00E20255"/>
    <w:rsid w:val="00E3104B"/>
    <w:rsid w:val="00E437B2"/>
    <w:rsid w:val="00E52BEE"/>
    <w:rsid w:val="00E767C6"/>
    <w:rsid w:val="00E86EB5"/>
    <w:rsid w:val="00E9299D"/>
    <w:rsid w:val="00EA4865"/>
    <w:rsid w:val="00EC757F"/>
    <w:rsid w:val="00F315BB"/>
    <w:rsid w:val="00F331CE"/>
    <w:rsid w:val="00F53276"/>
    <w:rsid w:val="00F67893"/>
    <w:rsid w:val="00F97E20"/>
    <w:rsid w:val="00FA6984"/>
    <w:rsid w:val="00FC0EF9"/>
    <w:rsid w:val="00FC16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55002"/>
  <w14:defaultImageDpi w14:val="32767"/>
  <w15:chartTrackingRefBased/>
  <w15:docId w15:val="{B7107E0E-DFA8-E44E-9A6E-13D3C0BF8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292733"/>
    <w:rPr>
      <w:sz w:val="20"/>
      <w:szCs w:val="20"/>
    </w:rPr>
  </w:style>
  <w:style w:type="character" w:customStyle="1" w:styleId="FootnoteTextChar">
    <w:name w:val="Footnote Text Char"/>
    <w:basedOn w:val="DefaultParagraphFont"/>
    <w:link w:val="FootnoteText"/>
    <w:uiPriority w:val="99"/>
    <w:rsid w:val="00292733"/>
    <w:rPr>
      <w:sz w:val="20"/>
      <w:szCs w:val="20"/>
    </w:rPr>
  </w:style>
  <w:style w:type="character" w:styleId="FootnoteReference">
    <w:name w:val="footnote reference"/>
    <w:basedOn w:val="DefaultParagraphFont"/>
    <w:uiPriority w:val="99"/>
    <w:semiHidden/>
    <w:unhideWhenUsed/>
    <w:rsid w:val="00292733"/>
    <w:rPr>
      <w:vertAlign w:val="superscript"/>
    </w:rPr>
  </w:style>
  <w:style w:type="character" w:customStyle="1" w:styleId="apple-converted-space">
    <w:name w:val="apple-converted-space"/>
    <w:basedOn w:val="DefaultParagraphFont"/>
    <w:rsid w:val="00710227"/>
  </w:style>
  <w:style w:type="character" w:styleId="Emphasis">
    <w:name w:val="Emphasis"/>
    <w:basedOn w:val="DefaultParagraphFont"/>
    <w:uiPriority w:val="20"/>
    <w:qFormat/>
    <w:rsid w:val="00710227"/>
    <w:rPr>
      <w:i/>
      <w:iCs/>
    </w:rPr>
  </w:style>
  <w:style w:type="character" w:styleId="Strong">
    <w:name w:val="Strong"/>
    <w:basedOn w:val="DefaultParagraphFont"/>
    <w:uiPriority w:val="22"/>
    <w:qFormat/>
    <w:rsid w:val="00DF0288"/>
    <w:rPr>
      <w:b/>
      <w:bCs/>
    </w:rPr>
  </w:style>
  <w:style w:type="paragraph" w:styleId="ListParagraph">
    <w:name w:val="List Paragraph"/>
    <w:basedOn w:val="Normal"/>
    <w:uiPriority w:val="34"/>
    <w:qFormat/>
    <w:rsid w:val="00E13C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630518">
      <w:bodyDiv w:val="1"/>
      <w:marLeft w:val="0"/>
      <w:marRight w:val="0"/>
      <w:marTop w:val="0"/>
      <w:marBottom w:val="0"/>
      <w:divBdr>
        <w:top w:val="none" w:sz="0" w:space="0" w:color="auto"/>
        <w:left w:val="none" w:sz="0" w:space="0" w:color="auto"/>
        <w:bottom w:val="none" w:sz="0" w:space="0" w:color="auto"/>
        <w:right w:val="none" w:sz="0" w:space="0" w:color="auto"/>
      </w:divBdr>
    </w:div>
    <w:div w:id="777216452">
      <w:bodyDiv w:val="1"/>
      <w:marLeft w:val="0"/>
      <w:marRight w:val="0"/>
      <w:marTop w:val="0"/>
      <w:marBottom w:val="0"/>
      <w:divBdr>
        <w:top w:val="none" w:sz="0" w:space="0" w:color="auto"/>
        <w:left w:val="none" w:sz="0" w:space="0" w:color="auto"/>
        <w:bottom w:val="none" w:sz="0" w:space="0" w:color="auto"/>
        <w:right w:val="none" w:sz="0" w:space="0" w:color="auto"/>
      </w:divBdr>
    </w:div>
    <w:div w:id="1373193823">
      <w:bodyDiv w:val="1"/>
      <w:marLeft w:val="0"/>
      <w:marRight w:val="0"/>
      <w:marTop w:val="0"/>
      <w:marBottom w:val="0"/>
      <w:divBdr>
        <w:top w:val="none" w:sz="0" w:space="0" w:color="auto"/>
        <w:left w:val="none" w:sz="0" w:space="0" w:color="auto"/>
        <w:bottom w:val="none" w:sz="0" w:space="0" w:color="auto"/>
        <w:right w:val="none" w:sz="0" w:space="0" w:color="auto"/>
      </w:divBdr>
    </w:div>
    <w:div w:id="1502507980">
      <w:bodyDiv w:val="1"/>
      <w:marLeft w:val="0"/>
      <w:marRight w:val="0"/>
      <w:marTop w:val="0"/>
      <w:marBottom w:val="0"/>
      <w:divBdr>
        <w:top w:val="none" w:sz="0" w:space="0" w:color="auto"/>
        <w:left w:val="none" w:sz="0" w:space="0" w:color="auto"/>
        <w:bottom w:val="none" w:sz="0" w:space="0" w:color="auto"/>
        <w:right w:val="none" w:sz="0" w:space="0" w:color="auto"/>
      </w:divBdr>
    </w:div>
    <w:div w:id="1611207697">
      <w:bodyDiv w:val="1"/>
      <w:marLeft w:val="0"/>
      <w:marRight w:val="0"/>
      <w:marTop w:val="0"/>
      <w:marBottom w:val="0"/>
      <w:divBdr>
        <w:top w:val="none" w:sz="0" w:space="0" w:color="auto"/>
        <w:left w:val="none" w:sz="0" w:space="0" w:color="auto"/>
        <w:bottom w:val="none" w:sz="0" w:space="0" w:color="auto"/>
        <w:right w:val="none" w:sz="0" w:space="0" w:color="auto"/>
      </w:divBdr>
    </w:div>
    <w:div w:id="1975400560">
      <w:bodyDiv w:val="1"/>
      <w:marLeft w:val="0"/>
      <w:marRight w:val="0"/>
      <w:marTop w:val="0"/>
      <w:marBottom w:val="0"/>
      <w:divBdr>
        <w:top w:val="none" w:sz="0" w:space="0" w:color="auto"/>
        <w:left w:val="none" w:sz="0" w:space="0" w:color="auto"/>
        <w:bottom w:val="none" w:sz="0" w:space="0" w:color="auto"/>
        <w:right w:val="none" w:sz="0" w:space="0" w:color="auto"/>
      </w:divBdr>
    </w:div>
    <w:div w:id="207743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28B81F-D3A1-A748-B937-FC81D9C0C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2737</Words>
  <Characters>15605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cp:revision>
  <dcterms:created xsi:type="dcterms:W3CDTF">2020-05-18T13:30:00Z</dcterms:created>
  <dcterms:modified xsi:type="dcterms:W3CDTF">2020-05-18T13:30:00Z</dcterms:modified>
</cp:coreProperties>
</file>